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D43F5E" w:rsidRDefault="006544C4" w:rsidP="00907825">
      <w:pPr>
        <w:jc w:val="center"/>
        <w:rPr>
          <w:lang w:val="fr-FR"/>
        </w:rPr>
      </w:pPr>
      <w:bookmarkStart w:id="0" w:name="_GoBack"/>
      <w:bookmarkEnd w:id="0"/>
    </w:p>
    <w:p w:rsidR="0094178F" w:rsidRPr="00D43F5E" w:rsidRDefault="0094178F" w:rsidP="0094178F">
      <w:pPr>
        <w:jc w:val="center"/>
        <w:rPr>
          <w:sz w:val="4"/>
          <w:szCs w:val="4"/>
          <w:lang w:val="fr-FR"/>
        </w:rPr>
      </w:pPr>
    </w:p>
    <w:p w:rsidR="006544C4" w:rsidRPr="00D43F5E" w:rsidRDefault="00067527" w:rsidP="00907825">
      <w:pPr>
        <w:pStyle w:val="DecHTitle"/>
        <w:rPr>
          <w:lang w:val="fr-FR"/>
        </w:rPr>
      </w:pPr>
      <w:r>
        <w:rPr>
          <w:szCs w:val="24"/>
          <w:lang w:val="fr-FR"/>
        </w:rPr>
        <w:t>PREMIÈRE SECTION</w:t>
      </w:r>
    </w:p>
    <w:p w:rsidR="006544C4" w:rsidRPr="00D43F5E" w:rsidRDefault="006544C4" w:rsidP="00907825">
      <w:pPr>
        <w:pStyle w:val="DecHTitle"/>
        <w:rPr>
          <w:caps/>
          <w:sz w:val="32"/>
          <w:lang w:val="fr-FR"/>
        </w:rPr>
      </w:pPr>
      <w:r w:rsidRPr="00D43F5E">
        <w:rPr>
          <w:lang w:val="fr-FR"/>
        </w:rPr>
        <w:t>DÉCISION</w:t>
      </w:r>
    </w:p>
    <w:p w:rsidR="006544C4" w:rsidRPr="00D43F5E" w:rsidRDefault="00067527" w:rsidP="00907825">
      <w:pPr>
        <w:pStyle w:val="ECHRTitleCentre2"/>
        <w:rPr>
          <w:i w:val="0"/>
          <w:lang w:val="fr-FR"/>
        </w:rPr>
      </w:pPr>
      <w:r w:rsidRPr="00D43F5E">
        <w:rPr>
          <w:i w:val="0"/>
          <w:lang w:val="fr-FR"/>
        </w:rPr>
        <w:t>Requête n</w:t>
      </w:r>
      <w:r w:rsidRPr="00D43F5E">
        <w:rPr>
          <w:i w:val="0"/>
          <w:vertAlign w:val="superscript"/>
          <w:lang w:val="fr-FR"/>
        </w:rPr>
        <w:t>o</w:t>
      </w:r>
      <w:r w:rsidR="006544C4" w:rsidRPr="00D43F5E">
        <w:rPr>
          <w:i w:val="0"/>
          <w:lang w:val="fr-FR"/>
        </w:rPr>
        <w:t xml:space="preserve"> </w:t>
      </w:r>
      <w:r>
        <w:rPr>
          <w:i w:val="0"/>
          <w:lang w:val="fr-FR"/>
        </w:rPr>
        <w:t>48974/12</w:t>
      </w:r>
      <w:r w:rsidR="006544C4" w:rsidRPr="00D43F5E">
        <w:rPr>
          <w:i w:val="0"/>
          <w:lang w:val="fr-FR"/>
        </w:rPr>
        <w:br/>
      </w:r>
      <w:r>
        <w:rPr>
          <w:i w:val="0"/>
          <w:lang w:val="fr-FR"/>
        </w:rPr>
        <w:t>Giuseppe</w:t>
      </w:r>
      <w:r w:rsidRPr="00D43F5E">
        <w:rPr>
          <w:i w:val="0"/>
          <w:lang w:val="fr-FR"/>
        </w:rPr>
        <w:t xml:space="preserve"> </w:t>
      </w:r>
      <w:r>
        <w:rPr>
          <w:i w:val="0"/>
          <w:lang w:val="fr-FR"/>
        </w:rPr>
        <w:t>MADONIA</w:t>
      </w:r>
      <w:r w:rsidRPr="00D43F5E">
        <w:rPr>
          <w:i w:val="0"/>
          <w:lang w:val="fr-FR"/>
        </w:rPr>
        <w:br/>
      </w:r>
      <w:r w:rsidR="006544C4" w:rsidRPr="00D43F5E">
        <w:rPr>
          <w:i w:val="0"/>
          <w:lang w:val="fr-FR"/>
        </w:rPr>
        <w:t xml:space="preserve">contre </w:t>
      </w:r>
      <w:r w:rsidRPr="00D43F5E">
        <w:rPr>
          <w:i w:val="0"/>
          <w:lang w:val="fr-FR"/>
        </w:rPr>
        <w:t>l</w:t>
      </w:r>
      <w:r w:rsidR="009E3984">
        <w:rPr>
          <w:i w:val="0"/>
          <w:lang w:val="fr-FR"/>
        </w:rPr>
        <w:t>’</w:t>
      </w:r>
      <w:r>
        <w:rPr>
          <w:i w:val="0"/>
          <w:lang w:val="fr-FR"/>
        </w:rPr>
        <w:t>Italie</w:t>
      </w:r>
    </w:p>
    <w:p w:rsidR="00067527" w:rsidRPr="007B585E" w:rsidRDefault="00067527" w:rsidP="008A7892">
      <w:pPr>
        <w:pStyle w:val="ECHRPara"/>
        <w:rPr>
          <w:lang w:val="fr-FR"/>
        </w:rPr>
      </w:pPr>
      <w:r w:rsidRPr="007B585E">
        <w:rPr>
          <w:lang w:val="fr-FR"/>
        </w:rPr>
        <w:t>La Cour européenne des droits de l</w:t>
      </w:r>
      <w:r w:rsidR="009E3984">
        <w:rPr>
          <w:lang w:val="fr-FR"/>
        </w:rPr>
        <w:t>’</w:t>
      </w:r>
      <w:r w:rsidRPr="007B585E">
        <w:rPr>
          <w:lang w:val="fr-FR"/>
        </w:rPr>
        <w:t>homme (</w:t>
      </w:r>
      <w:r w:rsidR="00E3783B">
        <w:rPr>
          <w:lang w:val="fr-FR"/>
        </w:rPr>
        <w:t>première</w:t>
      </w:r>
      <w:r w:rsidRPr="007B585E">
        <w:rPr>
          <w:lang w:val="fr-FR"/>
        </w:rPr>
        <w:t xml:space="preserve"> section), siégeant le </w:t>
      </w:r>
      <w:r w:rsidR="00981892">
        <w:rPr>
          <w:lang w:val="fr-FR"/>
        </w:rPr>
        <w:t>13 septembre 2016</w:t>
      </w:r>
      <w:r w:rsidRPr="007B585E">
        <w:rPr>
          <w:lang w:val="fr-FR"/>
        </w:rPr>
        <w:t xml:space="preserve"> en un</w:t>
      </w:r>
      <w:r w:rsidR="007C07E2">
        <w:rPr>
          <w:lang w:val="fr-FR"/>
        </w:rPr>
        <w:t xml:space="preserve"> comité</w:t>
      </w:r>
      <w:r w:rsidR="0015648C">
        <w:rPr>
          <w:lang w:val="fr-FR"/>
        </w:rPr>
        <w:t xml:space="preserve"> composé</w:t>
      </w:r>
      <w:r w:rsidRPr="007B585E">
        <w:rPr>
          <w:lang w:val="fr-FR"/>
        </w:rPr>
        <w:t xml:space="preserve"> de :</w:t>
      </w:r>
    </w:p>
    <w:p w:rsidR="00067527" w:rsidRPr="007B585E" w:rsidRDefault="00981892" w:rsidP="008A7892">
      <w:pPr>
        <w:pStyle w:val="ECHRDecisionBody"/>
        <w:rPr>
          <w:lang w:val="fr-FR"/>
        </w:rPr>
      </w:pPr>
      <w:r w:rsidRPr="00623BF1">
        <w:rPr>
          <w:lang w:val="fr-FR"/>
        </w:rPr>
        <w:tab/>
      </w:r>
      <w:r w:rsidRPr="00981892">
        <w:rPr>
          <w:lang w:val="fr-FR"/>
        </w:rPr>
        <w:t>Linos-Alexandre Sicilianos,</w:t>
      </w:r>
      <w:r w:rsidRPr="00981892">
        <w:rPr>
          <w:i/>
          <w:lang w:val="fr-FR"/>
        </w:rPr>
        <w:t xml:space="preserve"> président,</w:t>
      </w:r>
      <w:r w:rsidRPr="00981892">
        <w:rPr>
          <w:i/>
          <w:lang w:val="fr-FR"/>
        </w:rPr>
        <w:br/>
      </w:r>
      <w:r w:rsidRPr="00981892">
        <w:rPr>
          <w:lang w:val="fr-FR"/>
        </w:rPr>
        <w:tab/>
        <w:t>Ledi Bianku,</w:t>
      </w:r>
      <w:r w:rsidRPr="00981892">
        <w:rPr>
          <w:i/>
          <w:lang w:val="fr-FR"/>
        </w:rPr>
        <w:br/>
      </w:r>
      <w:r w:rsidRPr="00981892">
        <w:rPr>
          <w:lang w:val="fr-FR"/>
        </w:rPr>
        <w:tab/>
        <w:t>Aleš Pejchal,</w:t>
      </w:r>
      <w:r w:rsidRPr="00981892">
        <w:rPr>
          <w:i/>
          <w:lang w:val="fr-FR"/>
        </w:rPr>
        <w:t xml:space="preserve"> juges,</w:t>
      </w:r>
      <w:r w:rsidRPr="00981892">
        <w:rPr>
          <w:lang w:val="fr-FR"/>
        </w:rPr>
        <w:br/>
      </w:r>
      <w:r w:rsidR="00067527" w:rsidRPr="007B585E">
        <w:rPr>
          <w:lang w:val="fr-FR"/>
        </w:rPr>
        <w:t>et</w:t>
      </w:r>
      <w:r w:rsidR="00481D05">
        <w:rPr>
          <w:lang w:val="fr-FR"/>
        </w:rPr>
        <w:t xml:space="preserve"> de </w:t>
      </w:r>
      <w:r w:rsidR="00067527">
        <w:rPr>
          <w:lang w:val="fr-FR"/>
        </w:rPr>
        <w:t>Renata Degener</w:t>
      </w:r>
      <w:r w:rsidR="00067527" w:rsidRPr="007B585E">
        <w:rPr>
          <w:lang w:val="fr-FR"/>
        </w:rPr>
        <w:t xml:space="preserve">, </w:t>
      </w:r>
      <w:r w:rsidR="00067527">
        <w:rPr>
          <w:i/>
          <w:lang w:val="fr-FR"/>
        </w:rPr>
        <w:t>greffière adjointe</w:t>
      </w:r>
      <w:r w:rsidR="00646824">
        <w:rPr>
          <w:i/>
          <w:lang w:val="fr-FR"/>
        </w:rPr>
        <w:t xml:space="preserve"> de section</w:t>
      </w:r>
      <w:r w:rsidR="00067527" w:rsidRPr="007B585E">
        <w:rPr>
          <w:lang w:val="fr-FR"/>
        </w:rPr>
        <w:t>,</w:t>
      </w:r>
    </w:p>
    <w:p w:rsidR="00067527" w:rsidRPr="007B585E" w:rsidRDefault="00067527" w:rsidP="008A7892">
      <w:pPr>
        <w:pStyle w:val="ECHRPara"/>
        <w:rPr>
          <w:lang w:val="fr-FR"/>
        </w:rPr>
      </w:pPr>
      <w:r w:rsidRPr="007B585E">
        <w:rPr>
          <w:lang w:val="fr-FR"/>
        </w:rPr>
        <w:t xml:space="preserve">Vu la requête susmentionnée introduite le </w:t>
      </w:r>
      <w:r>
        <w:rPr>
          <w:lang w:val="fr-FR"/>
        </w:rPr>
        <w:t>19 juillet 2012</w:t>
      </w:r>
      <w:r w:rsidRPr="007B585E">
        <w:rPr>
          <w:lang w:val="fr-FR"/>
        </w:rPr>
        <w:t>,</w:t>
      </w:r>
    </w:p>
    <w:p w:rsidR="00067527" w:rsidRPr="007B585E" w:rsidRDefault="00067527" w:rsidP="008A7892">
      <w:pPr>
        <w:pStyle w:val="ECHRPara"/>
        <w:rPr>
          <w:lang w:val="fr-FR"/>
        </w:rPr>
      </w:pPr>
      <w:r w:rsidRPr="007B585E">
        <w:rPr>
          <w:lang w:val="fr-FR"/>
        </w:rPr>
        <w:t>Vu les observations soumises par le gouvernement défendeur et celles présentées en réponse par le requérant,</w:t>
      </w:r>
    </w:p>
    <w:p w:rsidR="00067527" w:rsidRPr="007B585E" w:rsidRDefault="00067527" w:rsidP="008A7892">
      <w:pPr>
        <w:pStyle w:val="ECHRPara"/>
        <w:rPr>
          <w:bCs/>
          <w:lang w:val="fr-FR"/>
        </w:rPr>
      </w:pPr>
      <w:r w:rsidRPr="007B585E">
        <w:rPr>
          <w:lang w:val="fr-FR"/>
        </w:rPr>
        <w:t>Après en avoir délibéré, rend la décision suivante :</w:t>
      </w:r>
    </w:p>
    <w:p w:rsidR="00067527" w:rsidRPr="006B54C6" w:rsidRDefault="00067527" w:rsidP="008A7892">
      <w:pPr>
        <w:pStyle w:val="ECHRTitle1"/>
        <w:spacing w:line="480" w:lineRule="auto"/>
        <w:rPr>
          <w:lang w:val="fr-FR"/>
        </w:rPr>
      </w:pPr>
      <w:bookmarkStart w:id="1" w:name="ITMarkFactsComplaintsStart"/>
      <w:bookmarkEnd w:id="1"/>
      <w:r w:rsidRPr="006B54C6">
        <w:rPr>
          <w:lang w:val="fr-FR"/>
        </w:rPr>
        <w:t>EN FAIT</w:t>
      </w:r>
    </w:p>
    <w:p w:rsidR="00067527" w:rsidRPr="006B54C6" w:rsidRDefault="00067527" w:rsidP="008A7892">
      <w:pPr>
        <w:pStyle w:val="ECHRHeading2"/>
        <w:rPr>
          <w:lang w:val="fr-FR"/>
        </w:rPr>
      </w:pPr>
      <w:r w:rsidRPr="006B54C6">
        <w:rPr>
          <w:lang w:val="fr-FR"/>
        </w:rPr>
        <w:t>A.  Les circonstances de l</w:t>
      </w:r>
      <w:r w:rsidR="009E3984">
        <w:rPr>
          <w:lang w:val="fr-FR"/>
        </w:rPr>
        <w:t>’</w:t>
      </w:r>
      <w:r w:rsidRPr="006B54C6">
        <w:rPr>
          <w:lang w:val="fr-FR"/>
        </w:rPr>
        <w:t>espèce</w:t>
      </w:r>
    </w:p>
    <w:p w:rsidR="00067527" w:rsidRDefault="00067527" w:rsidP="008A7892">
      <w:pPr>
        <w:pStyle w:val="ECHRPara"/>
        <w:rPr>
          <w:lang w:val="fr-FR"/>
        </w:rPr>
      </w:pPr>
      <w:r>
        <w:rPr>
          <w:lang w:val="fr-FR"/>
        </w:rPr>
        <w:t>1</w:t>
      </w:r>
      <w:r w:rsidRPr="008A6218">
        <w:rPr>
          <w:lang w:val="fr-FR"/>
        </w:rPr>
        <w:t>.  Le requérant est</w:t>
      </w:r>
      <w:r>
        <w:rPr>
          <w:lang w:val="fr-FR"/>
        </w:rPr>
        <w:t xml:space="preserve"> né en 1954. Il est actuellement détenu à Sassari</w:t>
      </w:r>
      <w:r w:rsidRPr="008A6218">
        <w:rPr>
          <w:lang w:val="fr-FR"/>
        </w:rPr>
        <w:t>.</w:t>
      </w:r>
      <w:r w:rsidRPr="008B00FA">
        <w:rPr>
          <w:lang w:val="fr-FR"/>
        </w:rPr>
        <w:t xml:space="preserve"> Il a été représenté devant la Cour par M</w:t>
      </w:r>
      <w:r w:rsidRPr="008B00FA">
        <w:rPr>
          <w:vertAlign w:val="superscript"/>
          <w:lang w:val="fr-FR"/>
        </w:rPr>
        <w:t>e</w:t>
      </w:r>
      <w:r w:rsidR="00481D05">
        <w:rPr>
          <w:vertAlign w:val="superscript"/>
          <w:lang w:val="fr-FR"/>
        </w:rPr>
        <w:t xml:space="preserve"> </w:t>
      </w:r>
      <w:r w:rsidRPr="008B00FA">
        <w:rPr>
          <w:lang w:val="fr-FR"/>
        </w:rPr>
        <w:t>V. Vianello Accorretti, avocat à Rome.</w:t>
      </w:r>
    </w:p>
    <w:p w:rsidR="00067527" w:rsidRDefault="00067527" w:rsidP="008A7892">
      <w:pPr>
        <w:pStyle w:val="ECHRPara"/>
        <w:rPr>
          <w:lang w:val="fr-FR"/>
        </w:rPr>
      </w:pPr>
      <w:r>
        <w:rPr>
          <w:lang w:val="fr-FR"/>
        </w:rPr>
        <w:t>2.  </w:t>
      </w:r>
      <w:r w:rsidRPr="008B00FA">
        <w:rPr>
          <w:lang w:val="fr-FR"/>
        </w:rPr>
        <w:t>Le gouvernement italien (« le Gouvernement </w:t>
      </w:r>
      <w:r>
        <w:rPr>
          <w:lang w:val="fr-FR"/>
        </w:rPr>
        <w:t>») a été représenté par son agent</w:t>
      </w:r>
      <w:r w:rsidRPr="008B00FA">
        <w:rPr>
          <w:lang w:val="fr-FR"/>
        </w:rPr>
        <w:t>, M</w:t>
      </w:r>
      <w:r w:rsidR="00481D05">
        <w:rPr>
          <w:vertAlign w:val="superscript"/>
          <w:lang w:val="fr-FR"/>
        </w:rPr>
        <w:t xml:space="preserve">me </w:t>
      </w:r>
      <w:r w:rsidRPr="008B00FA">
        <w:rPr>
          <w:lang w:val="fr-FR"/>
        </w:rPr>
        <w:t>E. Spatafora</w:t>
      </w:r>
      <w:r>
        <w:rPr>
          <w:lang w:val="fr-FR"/>
        </w:rPr>
        <w:t>.</w:t>
      </w:r>
    </w:p>
    <w:p w:rsidR="00067527" w:rsidRPr="008A6218" w:rsidRDefault="00067527" w:rsidP="008A7892">
      <w:pPr>
        <w:pStyle w:val="ECHRPara"/>
        <w:rPr>
          <w:lang w:val="fr-FR"/>
        </w:rPr>
      </w:pPr>
      <w:r>
        <w:rPr>
          <w:lang w:val="fr-FR"/>
        </w:rPr>
        <w:t>3.  </w:t>
      </w:r>
      <w:r w:rsidRPr="008A6218">
        <w:rPr>
          <w:lang w:val="fr-FR"/>
        </w:rPr>
        <w:t>Le requérant était soupçonné de faire partie d</w:t>
      </w:r>
      <w:r w:rsidR="009E3984">
        <w:rPr>
          <w:lang w:val="fr-FR"/>
        </w:rPr>
        <w:t>’</w:t>
      </w:r>
      <w:r w:rsidRPr="008A6218">
        <w:rPr>
          <w:lang w:val="fr-FR"/>
        </w:rPr>
        <w:t>une association de malfaiteurs de type mafieux et d</w:t>
      </w:r>
      <w:r w:rsidR="009E3984">
        <w:rPr>
          <w:lang w:val="fr-FR"/>
        </w:rPr>
        <w:t>’</w:t>
      </w:r>
      <w:r>
        <w:rPr>
          <w:lang w:val="fr-FR"/>
        </w:rPr>
        <w:t>avoir commis de</w:t>
      </w:r>
      <w:r w:rsidRPr="008A6218">
        <w:rPr>
          <w:lang w:val="fr-FR"/>
        </w:rPr>
        <w:t xml:space="preserve"> multiples assassinats</w:t>
      </w:r>
      <w:r>
        <w:rPr>
          <w:lang w:val="fr-FR"/>
        </w:rPr>
        <w:t>.</w:t>
      </w:r>
      <w:r w:rsidRPr="008A6218">
        <w:rPr>
          <w:lang w:val="fr-FR"/>
        </w:rPr>
        <w:t xml:space="preserve"> </w:t>
      </w:r>
      <w:r>
        <w:rPr>
          <w:lang w:val="fr-FR"/>
        </w:rPr>
        <w:t>Il</w:t>
      </w:r>
      <w:r w:rsidRPr="008A6218">
        <w:rPr>
          <w:lang w:val="fr-FR"/>
        </w:rPr>
        <w:t xml:space="preserve"> fut placé en détention le 27 avril 2009</w:t>
      </w:r>
      <w:r>
        <w:rPr>
          <w:lang w:val="fr-FR"/>
        </w:rPr>
        <w:t xml:space="preserve"> </w:t>
      </w:r>
      <w:r w:rsidRPr="008A6218">
        <w:rPr>
          <w:lang w:val="fr-FR"/>
        </w:rPr>
        <w:t>selon le régime spécial prévu par l</w:t>
      </w:r>
      <w:r w:rsidR="009E3984">
        <w:rPr>
          <w:lang w:val="fr-FR"/>
        </w:rPr>
        <w:t>’</w:t>
      </w:r>
      <w:r w:rsidRPr="008A6218">
        <w:rPr>
          <w:lang w:val="fr-FR"/>
        </w:rPr>
        <w:t>article 41</w:t>
      </w:r>
      <w:r>
        <w:rPr>
          <w:lang w:val="fr-FR"/>
        </w:rPr>
        <w:t xml:space="preserve"> </w:t>
      </w:r>
      <w:r w:rsidRPr="009F3603">
        <w:rPr>
          <w:i/>
          <w:lang w:val="fr-FR"/>
        </w:rPr>
        <w:t xml:space="preserve">bis </w:t>
      </w:r>
      <w:r w:rsidRPr="008A6218">
        <w:rPr>
          <w:lang w:val="fr-FR"/>
        </w:rPr>
        <w:t>de la loi n</w:t>
      </w:r>
      <w:r w:rsidR="00AD6316" w:rsidRPr="00AD6316">
        <w:rPr>
          <w:vertAlign w:val="superscript"/>
          <w:lang w:val="fr-FR"/>
        </w:rPr>
        <w:t>o</w:t>
      </w:r>
      <w:r w:rsidRPr="008A6218">
        <w:rPr>
          <w:lang w:val="fr-FR"/>
        </w:rPr>
        <w:t xml:space="preserve"> 354 du 26</w:t>
      </w:r>
      <w:r>
        <w:rPr>
          <w:lang w:val="fr-FR"/>
        </w:rPr>
        <w:t> </w:t>
      </w:r>
      <w:r w:rsidRPr="008A6218">
        <w:rPr>
          <w:lang w:val="fr-FR"/>
        </w:rPr>
        <w:t>juillet 1975</w:t>
      </w:r>
      <w:r>
        <w:rPr>
          <w:lang w:val="fr-FR"/>
        </w:rPr>
        <w:t xml:space="preserve"> relative à</w:t>
      </w:r>
      <w:r w:rsidRPr="008A6218">
        <w:rPr>
          <w:lang w:val="fr-FR"/>
        </w:rPr>
        <w:t xml:space="preserve"> </w:t>
      </w:r>
      <w:r w:rsidRPr="008B62C9">
        <w:rPr>
          <w:lang w:val="fr-FR"/>
        </w:rPr>
        <w:t>l</w:t>
      </w:r>
      <w:r w:rsidR="009E3984">
        <w:rPr>
          <w:lang w:val="fr-FR"/>
        </w:rPr>
        <w:t>’</w:t>
      </w:r>
      <w:r w:rsidRPr="008B62C9">
        <w:rPr>
          <w:lang w:val="fr-FR"/>
        </w:rPr>
        <w:t>administration</w:t>
      </w:r>
      <w:r w:rsidRPr="008A6218">
        <w:rPr>
          <w:lang w:val="fr-FR"/>
        </w:rPr>
        <w:t xml:space="preserve"> pénitentiaire</w:t>
      </w:r>
      <w:r>
        <w:rPr>
          <w:lang w:val="fr-FR"/>
        </w:rPr>
        <w:t>.</w:t>
      </w:r>
    </w:p>
    <w:p w:rsidR="00067527" w:rsidRPr="008A6218" w:rsidRDefault="00067527" w:rsidP="008A7892">
      <w:pPr>
        <w:pStyle w:val="ECHRPara"/>
        <w:rPr>
          <w:lang w:val="fr-FR"/>
        </w:rPr>
      </w:pPr>
      <w:r>
        <w:rPr>
          <w:lang w:val="fr-FR"/>
        </w:rPr>
        <w:t>4</w:t>
      </w:r>
      <w:r w:rsidRPr="008A6218">
        <w:rPr>
          <w:lang w:val="fr-FR"/>
        </w:rPr>
        <w:t>.  </w:t>
      </w:r>
      <w:r>
        <w:rPr>
          <w:lang w:val="fr-FR"/>
        </w:rPr>
        <w:t>Devant les juridictions internes, l</w:t>
      </w:r>
      <w:r w:rsidRPr="008A6218">
        <w:rPr>
          <w:lang w:val="fr-FR"/>
        </w:rPr>
        <w:t xml:space="preserve">e requérant </w:t>
      </w:r>
      <w:r>
        <w:rPr>
          <w:lang w:val="fr-FR"/>
        </w:rPr>
        <w:t>fut</w:t>
      </w:r>
      <w:r w:rsidRPr="008A6218">
        <w:rPr>
          <w:lang w:val="fr-FR"/>
        </w:rPr>
        <w:t xml:space="preserve"> </w:t>
      </w:r>
      <w:r>
        <w:rPr>
          <w:lang w:val="fr-FR"/>
        </w:rPr>
        <w:t xml:space="preserve">représenté </w:t>
      </w:r>
      <w:r w:rsidRPr="008A6218">
        <w:rPr>
          <w:lang w:val="fr-FR"/>
        </w:rPr>
        <w:t xml:space="preserve">par un </w:t>
      </w:r>
      <w:r w:rsidRPr="00E00B1B">
        <w:rPr>
          <w:lang w:val="fr-FR"/>
        </w:rPr>
        <w:t>avocat résidant à Palerme.</w:t>
      </w:r>
    </w:p>
    <w:p w:rsidR="00067527" w:rsidRDefault="00067527" w:rsidP="008A7892">
      <w:pPr>
        <w:pStyle w:val="ECHRHeading3"/>
        <w:rPr>
          <w:lang w:val="fr-FR"/>
        </w:rPr>
      </w:pPr>
      <w:r>
        <w:rPr>
          <w:lang w:val="fr-FR"/>
        </w:rPr>
        <w:lastRenderedPageBreak/>
        <w:t>1.  La procédure devant le tribunal d</w:t>
      </w:r>
      <w:r w:rsidR="009E3984">
        <w:rPr>
          <w:lang w:val="fr-FR"/>
        </w:rPr>
        <w:t>’</w:t>
      </w:r>
      <w:r>
        <w:rPr>
          <w:lang w:val="fr-FR"/>
        </w:rPr>
        <w:t>application des peines</w:t>
      </w:r>
    </w:p>
    <w:p w:rsidR="00067527" w:rsidRPr="008A6218" w:rsidRDefault="00067527" w:rsidP="008A7892">
      <w:pPr>
        <w:pStyle w:val="ECHRPara"/>
        <w:rPr>
          <w:lang w:val="fr-FR"/>
        </w:rPr>
      </w:pPr>
      <w:r>
        <w:rPr>
          <w:lang w:val="fr-FR"/>
        </w:rPr>
        <w:t>5</w:t>
      </w:r>
      <w:r w:rsidRPr="008A6218">
        <w:rPr>
          <w:lang w:val="fr-FR"/>
        </w:rPr>
        <w:t xml:space="preserve">.  Le 15 juillet 2009 entra en vigueur une nouvelle loi </w:t>
      </w:r>
      <w:r>
        <w:rPr>
          <w:lang w:val="fr-FR"/>
        </w:rPr>
        <w:t xml:space="preserve">qui modifia le libellé </w:t>
      </w:r>
      <w:r w:rsidRPr="009F3603">
        <w:rPr>
          <w:lang w:val="fr-FR"/>
        </w:rPr>
        <w:t>de l</w:t>
      </w:r>
      <w:r w:rsidR="009E3984">
        <w:rPr>
          <w:lang w:val="fr-FR"/>
        </w:rPr>
        <w:t>’</w:t>
      </w:r>
      <w:r w:rsidRPr="009F3603">
        <w:rPr>
          <w:lang w:val="fr-FR"/>
        </w:rPr>
        <w:t xml:space="preserve">article 41 </w:t>
      </w:r>
      <w:r w:rsidRPr="009F3603">
        <w:rPr>
          <w:i/>
          <w:lang w:val="fr-FR"/>
        </w:rPr>
        <w:t>bis</w:t>
      </w:r>
      <w:r w:rsidRPr="008A6218" w:rsidDel="00A55A84">
        <w:rPr>
          <w:lang w:val="fr-FR"/>
        </w:rPr>
        <w:t xml:space="preserve"> </w:t>
      </w:r>
      <w:r w:rsidRPr="008A6218">
        <w:rPr>
          <w:lang w:val="fr-FR"/>
        </w:rPr>
        <w:t>de la loi n</w:t>
      </w:r>
      <w:r w:rsidR="00AD6316" w:rsidRPr="00AD6316">
        <w:rPr>
          <w:vertAlign w:val="superscript"/>
          <w:lang w:val="fr-FR"/>
        </w:rPr>
        <w:t>o</w:t>
      </w:r>
      <w:r w:rsidRPr="008A6218">
        <w:rPr>
          <w:lang w:val="fr-FR"/>
        </w:rPr>
        <w:t xml:space="preserve"> 354 du 26</w:t>
      </w:r>
      <w:r w:rsidR="00481D05">
        <w:rPr>
          <w:lang w:val="fr-FR"/>
        </w:rPr>
        <w:t xml:space="preserve"> </w:t>
      </w:r>
      <w:r w:rsidRPr="008A6218">
        <w:rPr>
          <w:lang w:val="fr-FR"/>
        </w:rPr>
        <w:t>juillet 1975</w:t>
      </w:r>
      <w:r>
        <w:rPr>
          <w:lang w:val="fr-FR"/>
        </w:rPr>
        <w:t xml:space="preserve">. Cette modification visait à limiter les </w:t>
      </w:r>
      <w:r w:rsidRPr="008A6218">
        <w:rPr>
          <w:lang w:val="fr-FR"/>
        </w:rPr>
        <w:t xml:space="preserve">contacts entre les détenus </w:t>
      </w:r>
      <w:r>
        <w:rPr>
          <w:lang w:val="fr-FR"/>
        </w:rPr>
        <w:t xml:space="preserve">placés </w:t>
      </w:r>
      <w:r w:rsidRPr="008A6218">
        <w:rPr>
          <w:lang w:val="fr-FR"/>
        </w:rPr>
        <w:t xml:space="preserve">en régime </w:t>
      </w:r>
      <w:r w:rsidRPr="003611C7">
        <w:rPr>
          <w:lang w:val="fr-FR"/>
        </w:rPr>
        <w:t>spécial</w:t>
      </w:r>
      <w:r>
        <w:rPr>
          <w:lang w:val="fr-FR"/>
        </w:rPr>
        <w:t xml:space="preserve"> </w:t>
      </w:r>
      <w:r w:rsidRPr="008A6218">
        <w:rPr>
          <w:lang w:val="fr-FR"/>
        </w:rPr>
        <w:t xml:space="preserve">de détention et leurs avocats. </w:t>
      </w:r>
      <w:r>
        <w:rPr>
          <w:lang w:val="fr-FR"/>
        </w:rPr>
        <w:t xml:space="preserve">Aux termes de </w:t>
      </w:r>
      <w:r w:rsidRPr="00521F1F">
        <w:rPr>
          <w:lang w:val="fr-FR"/>
        </w:rPr>
        <w:t>la nouvelle version du texte, les détenus avaient droit, par semaine, à trois rencontres d</w:t>
      </w:r>
      <w:r w:rsidR="009E3984">
        <w:rPr>
          <w:lang w:val="fr-FR"/>
        </w:rPr>
        <w:t>’</w:t>
      </w:r>
      <w:r w:rsidRPr="00521F1F">
        <w:rPr>
          <w:lang w:val="fr-FR"/>
        </w:rPr>
        <w:t>une heure chacune ou à</w:t>
      </w:r>
      <w:r>
        <w:rPr>
          <w:lang w:val="fr-FR"/>
        </w:rPr>
        <w:t xml:space="preserve"> </w:t>
      </w:r>
      <w:r w:rsidRPr="008A6218">
        <w:rPr>
          <w:lang w:val="fr-FR"/>
        </w:rPr>
        <w:t xml:space="preserve">trois appels </w:t>
      </w:r>
      <w:r>
        <w:rPr>
          <w:lang w:val="fr-FR"/>
        </w:rPr>
        <w:t xml:space="preserve">téléphoniques </w:t>
      </w:r>
      <w:r w:rsidRPr="008A6218">
        <w:rPr>
          <w:lang w:val="fr-FR"/>
        </w:rPr>
        <w:t>de dix minutes</w:t>
      </w:r>
      <w:r>
        <w:rPr>
          <w:lang w:val="fr-FR"/>
        </w:rPr>
        <w:t xml:space="preserve"> chacun</w:t>
      </w:r>
      <w:r w:rsidRPr="008A6218">
        <w:rPr>
          <w:lang w:val="fr-FR"/>
        </w:rPr>
        <w:t>.</w:t>
      </w:r>
    </w:p>
    <w:p w:rsidR="00067527" w:rsidRPr="008A6218" w:rsidRDefault="00067527" w:rsidP="008A7892">
      <w:pPr>
        <w:pStyle w:val="ECHRPara"/>
        <w:rPr>
          <w:lang w:val="fr-FR"/>
        </w:rPr>
      </w:pPr>
      <w:r>
        <w:rPr>
          <w:lang w:val="fr-FR"/>
        </w:rPr>
        <w:t>6</w:t>
      </w:r>
      <w:r w:rsidRPr="008A6218">
        <w:rPr>
          <w:lang w:val="fr-FR"/>
        </w:rPr>
        <w:t>.  Le requérant introduisit un recours devant le juge d</w:t>
      </w:r>
      <w:r w:rsidR="009E3984">
        <w:rPr>
          <w:lang w:val="fr-FR"/>
        </w:rPr>
        <w:t>’</w:t>
      </w:r>
      <w:r w:rsidRPr="008A6218">
        <w:rPr>
          <w:lang w:val="fr-FR"/>
        </w:rPr>
        <w:t>application des peines de Cuneo</w:t>
      </w:r>
      <w:r>
        <w:rPr>
          <w:lang w:val="fr-FR"/>
        </w:rPr>
        <w:t>,</w:t>
      </w:r>
      <w:r w:rsidRPr="008A6218">
        <w:rPr>
          <w:lang w:val="fr-FR"/>
        </w:rPr>
        <w:t xml:space="preserve"> </w:t>
      </w:r>
      <w:r>
        <w:rPr>
          <w:lang w:val="fr-FR"/>
        </w:rPr>
        <w:t>alléguant qu</w:t>
      </w:r>
      <w:r w:rsidR="009E3984">
        <w:rPr>
          <w:lang w:val="fr-FR"/>
        </w:rPr>
        <w:t>’</w:t>
      </w:r>
      <w:r>
        <w:rPr>
          <w:lang w:val="fr-FR"/>
        </w:rPr>
        <w:t>il avait</w:t>
      </w:r>
      <w:r w:rsidRPr="008A6218">
        <w:rPr>
          <w:lang w:val="fr-FR"/>
        </w:rPr>
        <w:t xml:space="preserve"> subi une atteinte à son droit à la défense</w:t>
      </w:r>
      <w:r w:rsidRPr="00895ABB">
        <w:rPr>
          <w:lang w:val="fr-FR"/>
        </w:rPr>
        <w:t xml:space="preserve"> </w:t>
      </w:r>
      <w:r>
        <w:rPr>
          <w:lang w:val="fr-FR"/>
        </w:rPr>
        <w:t>au motif qu</w:t>
      </w:r>
      <w:r w:rsidR="009E3984">
        <w:rPr>
          <w:lang w:val="fr-FR"/>
        </w:rPr>
        <w:t>’</w:t>
      </w:r>
      <w:r w:rsidRPr="008A6218">
        <w:rPr>
          <w:lang w:val="fr-FR"/>
        </w:rPr>
        <w:t xml:space="preserve">il </w:t>
      </w:r>
      <w:r>
        <w:rPr>
          <w:lang w:val="fr-FR"/>
        </w:rPr>
        <w:t>ne disposait que</w:t>
      </w:r>
      <w:r w:rsidRPr="008A6218">
        <w:rPr>
          <w:lang w:val="fr-FR"/>
        </w:rPr>
        <w:t xml:space="preserve"> de trois entretiens téléphoniques </w:t>
      </w:r>
      <w:r>
        <w:rPr>
          <w:lang w:val="fr-FR"/>
        </w:rPr>
        <w:t xml:space="preserve">hebdomadaires </w:t>
      </w:r>
      <w:r w:rsidRPr="008A6218">
        <w:rPr>
          <w:lang w:val="fr-FR"/>
        </w:rPr>
        <w:t xml:space="preserve">de dix minutes </w:t>
      </w:r>
      <w:r>
        <w:rPr>
          <w:lang w:val="fr-FR"/>
        </w:rPr>
        <w:t xml:space="preserve">chacun </w:t>
      </w:r>
      <w:r w:rsidRPr="008A6218">
        <w:rPr>
          <w:lang w:val="fr-FR"/>
        </w:rPr>
        <w:t>et qu</w:t>
      </w:r>
      <w:r w:rsidR="009E3984">
        <w:rPr>
          <w:lang w:val="fr-FR"/>
        </w:rPr>
        <w:t>’</w:t>
      </w:r>
      <w:r w:rsidRPr="008A6218">
        <w:rPr>
          <w:lang w:val="fr-FR"/>
        </w:rPr>
        <w:t>il n</w:t>
      </w:r>
      <w:r w:rsidR="009E3984">
        <w:rPr>
          <w:lang w:val="fr-FR"/>
        </w:rPr>
        <w:t>’</w:t>
      </w:r>
      <w:r w:rsidRPr="008A6218">
        <w:rPr>
          <w:lang w:val="fr-FR"/>
        </w:rPr>
        <w:t xml:space="preserve">avait pas les moyens de payer </w:t>
      </w:r>
      <w:r>
        <w:rPr>
          <w:lang w:val="fr-FR"/>
        </w:rPr>
        <w:t xml:space="preserve">des </w:t>
      </w:r>
      <w:r w:rsidRPr="008A6218">
        <w:rPr>
          <w:lang w:val="fr-FR"/>
        </w:rPr>
        <w:t>vidéoconférence</w:t>
      </w:r>
      <w:r>
        <w:rPr>
          <w:lang w:val="fr-FR"/>
        </w:rPr>
        <w:t>s</w:t>
      </w:r>
      <w:r w:rsidRPr="008A6218">
        <w:rPr>
          <w:lang w:val="fr-FR"/>
        </w:rPr>
        <w:t xml:space="preserve">. Il demandait au juge de soulever </w:t>
      </w:r>
      <w:r>
        <w:rPr>
          <w:lang w:val="fr-FR"/>
        </w:rPr>
        <w:t>une</w:t>
      </w:r>
      <w:r w:rsidRPr="008A6218">
        <w:rPr>
          <w:lang w:val="fr-FR"/>
        </w:rPr>
        <w:t xml:space="preserve"> question de constitution</w:t>
      </w:r>
      <w:r>
        <w:rPr>
          <w:lang w:val="fr-FR"/>
        </w:rPr>
        <w:t>na</w:t>
      </w:r>
      <w:r w:rsidRPr="008A6218">
        <w:rPr>
          <w:lang w:val="fr-FR"/>
        </w:rPr>
        <w:t xml:space="preserve">lité </w:t>
      </w:r>
      <w:r>
        <w:rPr>
          <w:lang w:val="fr-FR"/>
        </w:rPr>
        <w:t>au sujet de</w:t>
      </w:r>
      <w:r w:rsidRPr="008A6218">
        <w:rPr>
          <w:lang w:val="fr-FR"/>
        </w:rPr>
        <w:t xml:space="preserve"> l</w:t>
      </w:r>
      <w:r w:rsidR="009E3984">
        <w:rPr>
          <w:lang w:val="fr-FR"/>
        </w:rPr>
        <w:t>’</w:t>
      </w:r>
      <w:r w:rsidRPr="008A6218">
        <w:rPr>
          <w:lang w:val="fr-FR"/>
        </w:rPr>
        <w:t xml:space="preserve">article 41 </w:t>
      </w:r>
      <w:r w:rsidRPr="009F3603">
        <w:rPr>
          <w:i/>
          <w:lang w:val="fr-FR"/>
        </w:rPr>
        <w:t>bis</w:t>
      </w:r>
      <w:r>
        <w:rPr>
          <w:lang w:val="fr-FR"/>
        </w:rPr>
        <w:t xml:space="preserve"> </w:t>
      </w:r>
      <w:r w:rsidRPr="003611C7">
        <w:rPr>
          <w:lang w:val="fr-FR"/>
        </w:rPr>
        <w:t xml:space="preserve">tel que modifié par </w:t>
      </w:r>
      <w:r>
        <w:rPr>
          <w:lang w:val="fr-FR"/>
        </w:rPr>
        <w:t xml:space="preserve">la </w:t>
      </w:r>
      <w:r w:rsidRPr="003611C7">
        <w:rPr>
          <w:lang w:val="fr-FR"/>
        </w:rPr>
        <w:t>loi du 15</w:t>
      </w:r>
      <w:r w:rsidR="00187BCB">
        <w:rPr>
          <w:lang w:val="fr-FR"/>
        </w:rPr>
        <w:t> </w:t>
      </w:r>
      <w:r w:rsidRPr="003611C7">
        <w:rPr>
          <w:lang w:val="fr-FR"/>
        </w:rPr>
        <w:t>juillet 2009.</w:t>
      </w:r>
    </w:p>
    <w:p w:rsidR="00067527" w:rsidRPr="008A6218" w:rsidRDefault="00067527" w:rsidP="008A7892">
      <w:pPr>
        <w:pStyle w:val="ECHRPara"/>
        <w:rPr>
          <w:lang w:val="fr-FR"/>
        </w:rPr>
      </w:pPr>
      <w:r>
        <w:rPr>
          <w:lang w:val="fr-FR"/>
        </w:rPr>
        <w:t>7</w:t>
      </w:r>
      <w:r w:rsidRPr="008A6218">
        <w:rPr>
          <w:lang w:val="fr-FR"/>
        </w:rPr>
        <w:t>.  Entre-temps, plusieurs détenus avaient introduit le même type de recours devant différents juges d</w:t>
      </w:r>
      <w:r w:rsidR="009E3984">
        <w:rPr>
          <w:lang w:val="fr-FR"/>
        </w:rPr>
        <w:t>’</w:t>
      </w:r>
      <w:r w:rsidRPr="008A6218">
        <w:rPr>
          <w:lang w:val="fr-FR"/>
        </w:rPr>
        <w:t>application des peines.</w:t>
      </w:r>
    </w:p>
    <w:p w:rsidR="00067527" w:rsidRPr="008A6218" w:rsidRDefault="00067527" w:rsidP="008A7892">
      <w:pPr>
        <w:pStyle w:val="ECHRPara"/>
        <w:rPr>
          <w:lang w:val="fr-FR"/>
        </w:rPr>
      </w:pPr>
      <w:r>
        <w:rPr>
          <w:lang w:val="fr-FR"/>
        </w:rPr>
        <w:t>8</w:t>
      </w:r>
      <w:r w:rsidRPr="008A6218">
        <w:rPr>
          <w:lang w:val="fr-FR"/>
        </w:rPr>
        <w:t>.  La Cour constitutionnelle fut alors saisie d</w:t>
      </w:r>
      <w:r w:rsidR="009E3984">
        <w:rPr>
          <w:lang w:val="fr-FR"/>
        </w:rPr>
        <w:t>’</w:t>
      </w:r>
      <w:r>
        <w:rPr>
          <w:lang w:val="fr-FR"/>
        </w:rPr>
        <w:t>une</w:t>
      </w:r>
      <w:r w:rsidRPr="008A6218">
        <w:rPr>
          <w:lang w:val="fr-FR"/>
        </w:rPr>
        <w:t xml:space="preserve"> question de constitutionnalité </w:t>
      </w:r>
      <w:r>
        <w:rPr>
          <w:lang w:val="fr-FR"/>
        </w:rPr>
        <w:t>portant sur</w:t>
      </w:r>
      <w:r w:rsidRPr="008A6218">
        <w:rPr>
          <w:lang w:val="fr-FR"/>
        </w:rPr>
        <w:t xml:space="preserve"> la loi litigieuse.</w:t>
      </w:r>
    </w:p>
    <w:p w:rsidR="00067527" w:rsidRPr="008A6218" w:rsidRDefault="00067527" w:rsidP="008A7892">
      <w:pPr>
        <w:pStyle w:val="ECHRPara"/>
        <w:rPr>
          <w:lang w:val="fr-FR"/>
        </w:rPr>
      </w:pPr>
      <w:r>
        <w:rPr>
          <w:lang w:val="fr-FR"/>
        </w:rPr>
        <w:t>9</w:t>
      </w:r>
      <w:r w:rsidRPr="008A6218">
        <w:rPr>
          <w:lang w:val="fr-FR"/>
        </w:rPr>
        <w:t>.  </w:t>
      </w:r>
      <w:r>
        <w:rPr>
          <w:lang w:val="fr-FR"/>
        </w:rPr>
        <w:t>Dans</w:t>
      </w:r>
      <w:r w:rsidRPr="008A6218">
        <w:rPr>
          <w:lang w:val="fr-FR"/>
        </w:rPr>
        <w:t xml:space="preserve"> une décision du 17 juin 2010, la Cour constitutionnelle </w:t>
      </w:r>
      <w:r>
        <w:rPr>
          <w:lang w:val="fr-FR"/>
        </w:rPr>
        <w:t>déclara la question de constitutionnalité manifestement mal fondée.</w:t>
      </w:r>
    </w:p>
    <w:p w:rsidR="00067527" w:rsidRPr="008A6218" w:rsidRDefault="00067527" w:rsidP="008A7892">
      <w:pPr>
        <w:pStyle w:val="ECHRPara"/>
        <w:rPr>
          <w:lang w:val="fr-FR"/>
        </w:rPr>
      </w:pPr>
      <w:r>
        <w:rPr>
          <w:lang w:val="fr-FR"/>
        </w:rPr>
        <w:t>10</w:t>
      </w:r>
      <w:r w:rsidRPr="008A6218">
        <w:rPr>
          <w:lang w:val="fr-FR"/>
        </w:rPr>
        <w:t>.  Par une décision du 11 mai 2011, le juge d</w:t>
      </w:r>
      <w:r w:rsidR="009E3984">
        <w:rPr>
          <w:lang w:val="fr-FR"/>
        </w:rPr>
        <w:t>’</w:t>
      </w:r>
      <w:r w:rsidRPr="008A6218">
        <w:rPr>
          <w:lang w:val="fr-FR"/>
        </w:rPr>
        <w:t xml:space="preserve">application des peines de Cuneo </w:t>
      </w:r>
      <w:r>
        <w:rPr>
          <w:lang w:val="fr-FR"/>
        </w:rPr>
        <w:t>rejeta</w:t>
      </w:r>
      <w:r w:rsidRPr="008A6218">
        <w:rPr>
          <w:lang w:val="fr-FR"/>
        </w:rPr>
        <w:t xml:space="preserve"> plusieurs recours du requérant, </w:t>
      </w:r>
      <w:r>
        <w:rPr>
          <w:lang w:val="fr-FR"/>
        </w:rPr>
        <w:t>au motif</w:t>
      </w:r>
      <w:r w:rsidRPr="008A6218">
        <w:rPr>
          <w:lang w:val="fr-FR"/>
        </w:rPr>
        <w:t xml:space="preserve"> que les restrictions </w:t>
      </w:r>
      <w:r>
        <w:rPr>
          <w:lang w:val="fr-FR"/>
        </w:rPr>
        <w:t xml:space="preserve">qui lui avaient été imposées dans les contacts avec son avocat </w:t>
      </w:r>
      <w:r w:rsidRPr="008A6218">
        <w:rPr>
          <w:lang w:val="fr-FR"/>
        </w:rPr>
        <w:t>étaient conformes à la loi et q</w:t>
      </w:r>
      <w:r>
        <w:rPr>
          <w:lang w:val="fr-FR"/>
        </w:rPr>
        <w:t>ue la</w:t>
      </w:r>
      <w:r w:rsidRPr="008A6218">
        <w:rPr>
          <w:lang w:val="fr-FR"/>
        </w:rPr>
        <w:t xml:space="preserve"> question de </w:t>
      </w:r>
      <w:r>
        <w:rPr>
          <w:lang w:val="fr-FR"/>
        </w:rPr>
        <w:t xml:space="preserve">la constitutionnalité </w:t>
      </w:r>
      <w:r w:rsidRPr="008A6218">
        <w:rPr>
          <w:lang w:val="fr-FR"/>
        </w:rPr>
        <w:t xml:space="preserve">de la loi ne se posait </w:t>
      </w:r>
      <w:r>
        <w:rPr>
          <w:lang w:val="fr-FR"/>
        </w:rPr>
        <w:t xml:space="preserve">pas </w:t>
      </w:r>
      <w:r w:rsidRPr="008A6218">
        <w:rPr>
          <w:lang w:val="fr-FR"/>
        </w:rPr>
        <w:t>en l</w:t>
      </w:r>
      <w:r w:rsidR="009E3984">
        <w:rPr>
          <w:lang w:val="fr-FR"/>
        </w:rPr>
        <w:t>’</w:t>
      </w:r>
      <w:r w:rsidRPr="008A6218">
        <w:rPr>
          <w:lang w:val="fr-FR"/>
        </w:rPr>
        <w:t xml:space="preserve">espèce. </w:t>
      </w:r>
      <w:r>
        <w:rPr>
          <w:lang w:val="fr-FR"/>
        </w:rPr>
        <w:t>Il considéra en outre</w:t>
      </w:r>
      <w:r w:rsidRPr="008A6218">
        <w:rPr>
          <w:lang w:val="fr-FR"/>
        </w:rPr>
        <w:t xml:space="preserve"> que les allégations du requérant étaient très générales et</w:t>
      </w:r>
      <w:r>
        <w:rPr>
          <w:lang w:val="fr-FR"/>
        </w:rPr>
        <w:t xml:space="preserve"> qu</w:t>
      </w:r>
      <w:r w:rsidR="009E3984">
        <w:rPr>
          <w:lang w:val="fr-FR"/>
        </w:rPr>
        <w:t>’</w:t>
      </w:r>
      <w:r>
        <w:rPr>
          <w:lang w:val="fr-FR"/>
        </w:rPr>
        <w:t>elles</w:t>
      </w:r>
      <w:r w:rsidRPr="008A6218">
        <w:rPr>
          <w:lang w:val="fr-FR"/>
        </w:rPr>
        <w:t xml:space="preserve"> </w:t>
      </w:r>
      <w:r w:rsidRPr="003611C7">
        <w:rPr>
          <w:lang w:val="fr-FR"/>
        </w:rPr>
        <w:t>manquaient de précision</w:t>
      </w:r>
      <w:r w:rsidRPr="008A6218">
        <w:rPr>
          <w:lang w:val="fr-FR"/>
        </w:rPr>
        <w:t>.</w:t>
      </w:r>
    </w:p>
    <w:p w:rsidR="00AD6316" w:rsidRDefault="00067527" w:rsidP="008A7892">
      <w:pPr>
        <w:pStyle w:val="ECHRPara"/>
        <w:rPr>
          <w:lang w:val="fr-FR"/>
        </w:rPr>
      </w:pPr>
      <w:r>
        <w:rPr>
          <w:lang w:val="fr-FR"/>
        </w:rPr>
        <w:t>11</w:t>
      </w:r>
      <w:r w:rsidRPr="008A6218">
        <w:rPr>
          <w:lang w:val="fr-FR"/>
        </w:rPr>
        <w:t>.  Le requérant se pourvut en cassation.</w:t>
      </w:r>
    </w:p>
    <w:p w:rsidR="00067527" w:rsidRPr="008A6218" w:rsidRDefault="00067527" w:rsidP="008A7892">
      <w:pPr>
        <w:pStyle w:val="ECHRPara"/>
        <w:rPr>
          <w:lang w:val="fr-FR"/>
        </w:rPr>
      </w:pPr>
      <w:r>
        <w:rPr>
          <w:lang w:val="fr-FR"/>
        </w:rPr>
        <w:t>12</w:t>
      </w:r>
      <w:r w:rsidRPr="008A6218">
        <w:rPr>
          <w:lang w:val="fr-FR"/>
        </w:rPr>
        <w:t>.  Par une décision du 24 janvier 2012, la Cour de cassation rejeta le pourvoi du requérant</w:t>
      </w:r>
      <w:r>
        <w:rPr>
          <w:lang w:val="fr-FR"/>
        </w:rPr>
        <w:t xml:space="preserve">. Elle estimait </w:t>
      </w:r>
      <w:r w:rsidRPr="003611C7">
        <w:rPr>
          <w:lang w:val="fr-FR"/>
        </w:rPr>
        <w:t>que le requérant n</w:t>
      </w:r>
      <w:r w:rsidR="009E3984">
        <w:rPr>
          <w:lang w:val="fr-FR"/>
        </w:rPr>
        <w:t>’</w:t>
      </w:r>
      <w:r w:rsidRPr="003611C7">
        <w:rPr>
          <w:lang w:val="fr-FR"/>
        </w:rPr>
        <w:t>avait pas prouvé que trente minutes d</w:t>
      </w:r>
      <w:r w:rsidR="009E3984">
        <w:rPr>
          <w:lang w:val="fr-FR"/>
        </w:rPr>
        <w:t>’</w:t>
      </w:r>
      <w:r w:rsidRPr="003611C7">
        <w:rPr>
          <w:lang w:val="fr-FR"/>
        </w:rPr>
        <w:t xml:space="preserve">entretiens téléphoniques par semaine ne suffisaient pas </w:t>
      </w:r>
      <w:r>
        <w:rPr>
          <w:lang w:val="fr-FR"/>
        </w:rPr>
        <w:t>à la préparation de</w:t>
      </w:r>
      <w:r w:rsidRPr="003611C7">
        <w:rPr>
          <w:lang w:val="fr-FR"/>
        </w:rPr>
        <w:t xml:space="preserve"> sa défense</w:t>
      </w:r>
      <w:r w:rsidRPr="008A6218">
        <w:rPr>
          <w:lang w:val="fr-FR"/>
        </w:rPr>
        <w:t xml:space="preserve"> </w:t>
      </w:r>
      <w:r>
        <w:rPr>
          <w:lang w:val="fr-FR"/>
        </w:rPr>
        <w:t xml:space="preserve">ni </w:t>
      </w:r>
      <w:r w:rsidRPr="008A6218">
        <w:rPr>
          <w:lang w:val="fr-FR"/>
        </w:rPr>
        <w:t xml:space="preserve">que </w:t>
      </w:r>
      <w:r>
        <w:rPr>
          <w:lang w:val="fr-FR"/>
        </w:rPr>
        <w:t>sa situation financière</w:t>
      </w:r>
      <w:r w:rsidRPr="008A6218">
        <w:rPr>
          <w:lang w:val="fr-FR"/>
        </w:rPr>
        <w:t xml:space="preserve"> l</w:t>
      </w:r>
      <w:r w:rsidR="009E3984">
        <w:rPr>
          <w:lang w:val="fr-FR"/>
        </w:rPr>
        <w:t>’</w:t>
      </w:r>
      <w:r w:rsidRPr="008A6218">
        <w:rPr>
          <w:lang w:val="fr-FR"/>
        </w:rPr>
        <w:t xml:space="preserve">empêchait </w:t>
      </w:r>
      <w:r>
        <w:rPr>
          <w:lang w:val="fr-FR"/>
        </w:rPr>
        <w:t>de communiquer avec son avocat par</w:t>
      </w:r>
      <w:r w:rsidRPr="008A6218">
        <w:rPr>
          <w:lang w:val="fr-FR"/>
        </w:rPr>
        <w:t xml:space="preserve"> vidéoconférence.</w:t>
      </w:r>
      <w:r>
        <w:rPr>
          <w:lang w:val="fr-FR"/>
        </w:rPr>
        <w:t xml:space="preserve"> La Cour de cassation appuyait également sa décision sur le</w:t>
      </w:r>
      <w:r w:rsidRPr="008A6218">
        <w:rPr>
          <w:lang w:val="fr-FR"/>
        </w:rPr>
        <w:t xml:space="preserve"> pouvoir discrétionnaire du législateur dans la mise en balance des intérêts en jeu</w:t>
      </w:r>
      <w:r>
        <w:rPr>
          <w:lang w:val="fr-FR"/>
        </w:rPr>
        <w:t>.</w:t>
      </w:r>
    </w:p>
    <w:p w:rsidR="00067527" w:rsidRDefault="00067527" w:rsidP="00187BCB">
      <w:pPr>
        <w:pStyle w:val="ECHRHeading3"/>
        <w:tabs>
          <w:tab w:val="clear" w:pos="731"/>
        </w:tabs>
        <w:rPr>
          <w:lang w:val="fr-FR"/>
        </w:rPr>
      </w:pPr>
      <w:r>
        <w:rPr>
          <w:lang w:val="fr-FR"/>
        </w:rPr>
        <w:t>2. </w:t>
      </w:r>
      <w:r w:rsidR="00481D05">
        <w:rPr>
          <w:lang w:val="fr-FR"/>
        </w:rPr>
        <w:t> </w:t>
      </w:r>
      <w:r>
        <w:rPr>
          <w:lang w:val="fr-FR"/>
        </w:rPr>
        <w:t>La procédure devant le tribunal de Palerme et la cour d</w:t>
      </w:r>
      <w:r w:rsidR="009E3984">
        <w:rPr>
          <w:lang w:val="fr-FR"/>
        </w:rPr>
        <w:t>’</w:t>
      </w:r>
      <w:r>
        <w:rPr>
          <w:lang w:val="fr-FR"/>
        </w:rPr>
        <w:t>appel de Palerme</w:t>
      </w:r>
    </w:p>
    <w:p w:rsidR="00067527" w:rsidRDefault="00067527" w:rsidP="008A7892">
      <w:pPr>
        <w:pStyle w:val="ECHRPara"/>
        <w:rPr>
          <w:lang w:val="fr-FR"/>
        </w:rPr>
      </w:pPr>
      <w:r>
        <w:rPr>
          <w:lang w:val="fr-FR"/>
        </w:rPr>
        <w:t>13.  Le 5 mai 2010, le requérant déclara au cours de l</w:t>
      </w:r>
      <w:r w:rsidR="009E3984">
        <w:rPr>
          <w:lang w:val="fr-FR"/>
        </w:rPr>
        <w:t>’</w:t>
      </w:r>
      <w:r>
        <w:rPr>
          <w:lang w:val="fr-FR"/>
        </w:rPr>
        <w:t>audience devant le tribunal de Palerme que l</w:t>
      </w:r>
      <w:r w:rsidR="009E3984">
        <w:rPr>
          <w:lang w:val="fr-FR"/>
        </w:rPr>
        <w:t>’</w:t>
      </w:r>
      <w:r>
        <w:rPr>
          <w:lang w:val="fr-FR"/>
        </w:rPr>
        <w:t>administration pénitentiaire ne lui laissait pas le temps de parler avec son avocat. Le président du tribunal lui répondit que le tribunal compétent pour connaître des plaintes contre les décisions de l</w:t>
      </w:r>
      <w:r w:rsidR="009E3984">
        <w:rPr>
          <w:lang w:val="fr-FR"/>
        </w:rPr>
        <w:t>’</w:t>
      </w:r>
      <w:r>
        <w:rPr>
          <w:lang w:val="fr-FR"/>
        </w:rPr>
        <w:t>administration pénitentiaire était le tribunal d</w:t>
      </w:r>
      <w:r w:rsidR="009E3984">
        <w:rPr>
          <w:lang w:val="fr-FR"/>
        </w:rPr>
        <w:t>’</w:t>
      </w:r>
      <w:r>
        <w:rPr>
          <w:lang w:val="fr-FR"/>
        </w:rPr>
        <w:t>application des peines.</w:t>
      </w:r>
    </w:p>
    <w:p w:rsidR="00067527" w:rsidRDefault="00067527" w:rsidP="008A7892">
      <w:pPr>
        <w:pStyle w:val="ECHRPara"/>
        <w:rPr>
          <w:lang w:val="fr-FR"/>
        </w:rPr>
      </w:pPr>
      <w:r>
        <w:rPr>
          <w:lang w:val="fr-FR"/>
        </w:rPr>
        <w:lastRenderedPageBreak/>
        <w:t xml:space="preserve">14.  Le </w:t>
      </w:r>
      <w:r w:rsidRPr="008A6218">
        <w:rPr>
          <w:lang w:val="fr-FR"/>
        </w:rPr>
        <w:t xml:space="preserve">6 décembre 2011, le tribunal de Palerme condamna le requérant à </w:t>
      </w:r>
      <w:r>
        <w:rPr>
          <w:lang w:val="fr-FR"/>
        </w:rPr>
        <w:t>quatorze</w:t>
      </w:r>
      <w:r w:rsidRPr="008A6218">
        <w:rPr>
          <w:lang w:val="fr-FR"/>
        </w:rPr>
        <w:t xml:space="preserve"> ans de réclusion.</w:t>
      </w:r>
    </w:p>
    <w:p w:rsidR="00067527" w:rsidRPr="008A6218" w:rsidRDefault="00067527" w:rsidP="008A7892">
      <w:pPr>
        <w:pStyle w:val="ECHRPara"/>
        <w:rPr>
          <w:lang w:val="fr-FR"/>
        </w:rPr>
      </w:pPr>
      <w:r>
        <w:rPr>
          <w:lang w:val="fr-FR"/>
        </w:rPr>
        <w:t>15.  À une date non précisée, le requérant interjeta appel de ce jugement.</w:t>
      </w:r>
    </w:p>
    <w:p w:rsidR="00067527" w:rsidRPr="008A6218" w:rsidRDefault="00067527" w:rsidP="008A7892">
      <w:pPr>
        <w:pStyle w:val="ECHRPara"/>
        <w:rPr>
          <w:lang w:val="fr-FR"/>
        </w:rPr>
      </w:pPr>
      <w:r>
        <w:rPr>
          <w:lang w:val="fr-FR"/>
        </w:rPr>
        <w:t>16.  Il ressort du dossier que le requérant n</w:t>
      </w:r>
      <w:r w:rsidR="009E3984">
        <w:rPr>
          <w:lang w:val="fr-FR"/>
        </w:rPr>
        <w:t>’</w:t>
      </w:r>
      <w:r>
        <w:rPr>
          <w:lang w:val="fr-FR"/>
        </w:rPr>
        <w:t>a soulevé ni devant le tribunal ni devant la cour d</w:t>
      </w:r>
      <w:r w:rsidR="009E3984">
        <w:rPr>
          <w:lang w:val="fr-FR"/>
        </w:rPr>
        <w:t>’</w:t>
      </w:r>
      <w:r>
        <w:rPr>
          <w:lang w:val="fr-FR"/>
        </w:rPr>
        <w:t>appel la question de l</w:t>
      </w:r>
      <w:r w:rsidR="009E3984">
        <w:rPr>
          <w:lang w:val="fr-FR"/>
        </w:rPr>
        <w:t>’</w:t>
      </w:r>
      <w:r>
        <w:rPr>
          <w:lang w:val="fr-FR"/>
        </w:rPr>
        <w:t>atteinte à son droit à la défense qui résultait selon lui de la limitation du nombre et de la durée de ses entretiens avec son avocat.</w:t>
      </w:r>
    </w:p>
    <w:p w:rsidR="00067527" w:rsidRPr="008A6218" w:rsidRDefault="00067527" w:rsidP="008A7892">
      <w:pPr>
        <w:pStyle w:val="ECHRHeading3"/>
        <w:rPr>
          <w:lang w:val="fr-FR"/>
        </w:rPr>
      </w:pPr>
      <w:r>
        <w:rPr>
          <w:lang w:val="fr-FR"/>
        </w:rPr>
        <w:t>3</w:t>
      </w:r>
      <w:r w:rsidRPr="008A6218">
        <w:rPr>
          <w:lang w:val="fr-FR"/>
        </w:rPr>
        <w:t xml:space="preserve">.  Les contacts avec </w:t>
      </w:r>
      <w:r>
        <w:rPr>
          <w:lang w:val="fr-FR"/>
        </w:rPr>
        <w:t>l</w:t>
      </w:r>
      <w:r w:rsidR="009E3984">
        <w:rPr>
          <w:lang w:val="fr-FR"/>
        </w:rPr>
        <w:t>’</w:t>
      </w:r>
      <w:r w:rsidRPr="008A6218">
        <w:rPr>
          <w:lang w:val="fr-FR"/>
        </w:rPr>
        <w:t>avocat</w:t>
      </w:r>
    </w:p>
    <w:p w:rsidR="00067527" w:rsidRPr="008A6218" w:rsidRDefault="00067527" w:rsidP="008A7892">
      <w:pPr>
        <w:pStyle w:val="ECHRPara"/>
        <w:rPr>
          <w:lang w:val="fr-FR"/>
        </w:rPr>
      </w:pPr>
      <w:r>
        <w:rPr>
          <w:lang w:val="fr-FR"/>
        </w:rPr>
        <w:t>17</w:t>
      </w:r>
      <w:r w:rsidRPr="008A6218">
        <w:rPr>
          <w:lang w:val="fr-FR"/>
        </w:rPr>
        <w:t>.  L</w:t>
      </w:r>
      <w:r w:rsidR="009E3984">
        <w:rPr>
          <w:lang w:val="fr-FR"/>
        </w:rPr>
        <w:t>’</w:t>
      </w:r>
      <w:r w:rsidRPr="008A6218">
        <w:rPr>
          <w:lang w:val="fr-FR"/>
        </w:rPr>
        <w:t>avocat du requérant</w:t>
      </w:r>
      <w:r>
        <w:rPr>
          <w:lang w:val="fr-FR"/>
        </w:rPr>
        <w:t>, qui résidait à Palerme,</w:t>
      </w:r>
      <w:r w:rsidRPr="008A6218">
        <w:rPr>
          <w:lang w:val="fr-FR"/>
        </w:rPr>
        <w:t xml:space="preserve"> ne se rendit jamais à Cuneo où le requérant était détenu.</w:t>
      </w:r>
    </w:p>
    <w:p w:rsidR="00AD6316" w:rsidRDefault="00067527" w:rsidP="008A7892">
      <w:pPr>
        <w:pStyle w:val="ECHRPara"/>
        <w:rPr>
          <w:lang w:val="fr-FR"/>
        </w:rPr>
      </w:pPr>
      <w:r>
        <w:rPr>
          <w:lang w:val="fr-FR"/>
        </w:rPr>
        <w:t>18</w:t>
      </w:r>
      <w:r w:rsidRPr="008A6218">
        <w:rPr>
          <w:lang w:val="fr-FR"/>
        </w:rPr>
        <w:t xml:space="preserve">.  La première conversation téléphonique </w:t>
      </w:r>
      <w:r>
        <w:rPr>
          <w:lang w:val="fr-FR"/>
        </w:rPr>
        <w:t xml:space="preserve">entre le requérant et son avocat </w:t>
      </w:r>
      <w:r w:rsidRPr="008A6218">
        <w:rPr>
          <w:lang w:val="fr-FR"/>
        </w:rPr>
        <w:t xml:space="preserve">eut lieu en octobre 2009. </w:t>
      </w:r>
      <w:r>
        <w:rPr>
          <w:lang w:val="fr-FR"/>
        </w:rPr>
        <w:t>E</w:t>
      </w:r>
      <w:r w:rsidRPr="008A6218">
        <w:rPr>
          <w:lang w:val="fr-FR"/>
        </w:rPr>
        <w:t>ntre octobre 2009 et le 6 février 2011</w:t>
      </w:r>
      <w:r>
        <w:rPr>
          <w:lang w:val="fr-FR"/>
        </w:rPr>
        <w:t>, ils eurent trente-cinq</w:t>
      </w:r>
      <w:r w:rsidRPr="008A6218">
        <w:rPr>
          <w:lang w:val="fr-FR"/>
        </w:rPr>
        <w:t xml:space="preserve"> </w:t>
      </w:r>
      <w:r>
        <w:rPr>
          <w:lang w:val="fr-FR"/>
        </w:rPr>
        <w:t>entretiens d</w:t>
      </w:r>
      <w:r w:rsidR="009E3984">
        <w:rPr>
          <w:lang w:val="fr-FR"/>
        </w:rPr>
        <w:t>’</w:t>
      </w:r>
      <w:r>
        <w:rPr>
          <w:lang w:val="fr-FR"/>
        </w:rPr>
        <w:t>une durée variable, comprise</w:t>
      </w:r>
      <w:r w:rsidRPr="008A6218">
        <w:rPr>
          <w:lang w:val="fr-FR"/>
        </w:rPr>
        <w:t xml:space="preserve"> </w:t>
      </w:r>
      <w:r>
        <w:rPr>
          <w:lang w:val="fr-FR"/>
        </w:rPr>
        <w:t>entre</w:t>
      </w:r>
      <w:r w:rsidRPr="008A6218">
        <w:rPr>
          <w:lang w:val="fr-FR"/>
        </w:rPr>
        <w:t xml:space="preserve"> 10 </w:t>
      </w:r>
      <w:r>
        <w:rPr>
          <w:lang w:val="fr-FR"/>
        </w:rPr>
        <w:t>et</w:t>
      </w:r>
      <w:r w:rsidRPr="008A6218">
        <w:rPr>
          <w:lang w:val="fr-FR"/>
        </w:rPr>
        <w:t xml:space="preserve"> 3</w:t>
      </w:r>
      <w:r w:rsidR="00187BCB">
        <w:rPr>
          <w:lang w:val="fr-FR"/>
        </w:rPr>
        <w:t>0 </w:t>
      </w:r>
      <w:r w:rsidRPr="008A6218">
        <w:rPr>
          <w:lang w:val="fr-FR"/>
        </w:rPr>
        <w:t xml:space="preserve">minutes. </w:t>
      </w:r>
      <w:r w:rsidRPr="003611C7">
        <w:rPr>
          <w:lang w:val="fr-FR"/>
        </w:rPr>
        <w:t xml:space="preserve">Certains rendez-vous téléphoniques </w:t>
      </w:r>
      <w:r w:rsidRPr="009F3603">
        <w:rPr>
          <w:lang w:val="fr-FR"/>
        </w:rPr>
        <w:t xml:space="preserve">programmés </w:t>
      </w:r>
      <w:r w:rsidRPr="003611C7">
        <w:rPr>
          <w:lang w:val="fr-FR"/>
        </w:rPr>
        <w:t>furent annulés</w:t>
      </w:r>
      <w:r w:rsidRPr="008A6218">
        <w:rPr>
          <w:lang w:val="fr-FR"/>
        </w:rPr>
        <w:t xml:space="preserve"> </w:t>
      </w:r>
      <w:r>
        <w:rPr>
          <w:lang w:val="fr-FR"/>
        </w:rPr>
        <w:t>par</w:t>
      </w:r>
      <w:r w:rsidRPr="008A6218">
        <w:rPr>
          <w:lang w:val="fr-FR"/>
        </w:rPr>
        <w:t xml:space="preserve"> l</w:t>
      </w:r>
      <w:r w:rsidR="009E3984">
        <w:rPr>
          <w:lang w:val="fr-FR"/>
        </w:rPr>
        <w:t>’</w:t>
      </w:r>
      <w:r w:rsidRPr="008A6218">
        <w:rPr>
          <w:lang w:val="fr-FR"/>
        </w:rPr>
        <w:t>avocat du requérant.</w:t>
      </w:r>
    </w:p>
    <w:p w:rsidR="00067527" w:rsidRPr="008A6218" w:rsidRDefault="00067527" w:rsidP="008A7892">
      <w:pPr>
        <w:pStyle w:val="ECHRPara"/>
        <w:rPr>
          <w:lang w:val="fr-FR"/>
        </w:rPr>
      </w:pPr>
      <w:r>
        <w:rPr>
          <w:lang w:val="fr-FR"/>
        </w:rPr>
        <w:t>19.  </w:t>
      </w:r>
      <w:r w:rsidRPr="008A6218">
        <w:rPr>
          <w:lang w:val="fr-FR"/>
        </w:rPr>
        <w:t xml:space="preserve">Il ressort du dossier que le requérant est </w:t>
      </w:r>
      <w:r>
        <w:rPr>
          <w:lang w:val="fr-FR"/>
        </w:rPr>
        <w:t>toujours</w:t>
      </w:r>
      <w:r w:rsidRPr="008A6218">
        <w:rPr>
          <w:lang w:val="fr-FR"/>
        </w:rPr>
        <w:t xml:space="preserve"> placé en régime spécial de détention</w:t>
      </w:r>
      <w:r>
        <w:rPr>
          <w:lang w:val="fr-FR"/>
        </w:rPr>
        <w:t>.</w:t>
      </w:r>
    </w:p>
    <w:p w:rsidR="00067527" w:rsidRPr="0059376C" w:rsidRDefault="00067527" w:rsidP="008A7892">
      <w:pPr>
        <w:pStyle w:val="ECHRHeading2"/>
        <w:rPr>
          <w:lang w:val="fr-FR"/>
        </w:rPr>
      </w:pPr>
      <w:r w:rsidRPr="0059376C">
        <w:rPr>
          <w:lang w:val="fr-FR"/>
        </w:rPr>
        <w:t>B.  Le droit interne pertinent</w:t>
      </w:r>
    </w:p>
    <w:p w:rsidR="00067527" w:rsidRPr="008A6218" w:rsidRDefault="00067527" w:rsidP="008A7892">
      <w:pPr>
        <w:pStyle w:val="ECHRPara"/>
        <w:rPr>
          <w:lang w:val="fr-FR"/>
        </w:rPr>
      </w:pPr>
      <w:r>
        <w:rPr>
          <w:lang w:val="fr-FR"/>
        </w:rPr>
        <w:t>20</w:t>
      </w:r>
      <w:r w:rsidRPr="008A6218">
        <w:rPr>
          <w:lang w:val="fr-FR"/>
        </w:rPr>
        <w:t>.  Les restrictions découlant de l</w:t>
      </w:r>
      <w:r w:rsidR="009E3984">
        <w:rPr>
          <w:lang w:val="fr-FR"/>
        </w:rPr>
        <w:t>’</w:t>
      </w:r>
      <w:r w:rsidRPr="008A6218">
        <w:rPr>
          <w:lang w:val="fr-FR"/>
        </w:rPr>
        <w:t>article 41</w:t>
      </w:r>
      <w:r>
        <w:rPr>
          <w:lang w:val="fr-FR"/>
        </w:rPr>
        <w:t xml:space="preserve"> </w:t>
      </w:r>
      <w:r w:rsidRPr="009F3603">
        <w:rPr>
          <w:i/>
          <w:lang w:val="fr-FR"/>
        </w:rPr>
        <w:t>bis</w:t>
      </w:r>
      <w:r w:rsidRPr="008A6218">
        <w:rPr>
          <w:lang w:val="fr-FR"/>
        </w:rPr>
        <w:t xml:space="preserve"> de </w:t>
      </w:r>
      <w:r>
        <w:rPr>
          <w:lang w:val="fr-FR"/>
        </w:rPr>
        <w:t xml:space="preserve">la </w:t>
      </w:r>
      <w:r w:rsidRPr="008A6218">
        <w:rPr>
          <w:lang w:val="fr-FR"/>
        </w:rPr>
        <w:t>loi n</w:t>
      </w:r>
      <w:r w:rsidR="00AD6316" w:rsidRPr="00AD6316">
        <w:rPr>
          <w:vertAlign w:val="superscript"/>
          <w:lang w:val="fr-FR"/>
        </w:rPr>
        <w:t>o</w:t>
      </w:r>
      <w:r w:rsidRPr="008A6218">
        <w:rPr>
          <w:lang w:val="fr-FR"/>
        </w:rPr>
        <w:t xml:space="preserve"> 354 d</w:t>
      </w:r>
      <w:r>
        <w:rPr>
          <w:lang w:val="fr-FR"/>
        </w:rPr>
        <w:t>u 26 juillet</w:t>
      </w:r>
      <w:r w:rsidR="00187BCB">
        <w:rPr>
          <w:lang w:val="fr-FR"/>
        </w:rPr>
        <w:t> </w:t>
      </w:r>
      <w:r w:rsidRPr="008A6218">
        <w:rPr>
          <w:lang w:val="fr-FR"/>
        </w:rPr>
        <w:t xml:space="preserve">1975 </w:t>
      </w:r>
      <w:r>
        <w:rPr>
          <w:lang w:val="fr-FR"/>
        </w:rPr>
        <w:t>ont été</w:t>
      </w:r>
      <w:r w:rsidRPr="008A6218">
        <w:rPr>
          <w:lang w:val="fr-FR"/>
        </w:rPr>
        <w:t xml:space="preserve"> décrites dans l</w:t>
      </w:r>
      <w:r w:rsidR="009E3984">
        <w:rPr>
          <w:lang w:val="fr-FR"/>
        </w:rPr>
        <w:t>’</w:t>
      </w:r>
      <w:r w:rsidRPr="008A6218">
        <w:rPr>
          <w:lang w:val="fr-FR"/>
        </w:rPr>
        <w:t xml:space="preserve">arrêt </w:t>
      </w:r>
      <w:r w:rsidRPr="008A6218">
        <w:rPr>
          <w:i/>
          <w:lang w:val="fr-FR"/>
        </w:rPr>
        <w:t>Enea c. Italie</w:t>
      </w:r>
      <w:r w:rsidRPr="008A6218">
        <w:rPr>
          <w:lang w:val="fr-FR"/>
        </w:rPr>
        <w:t xml:space="preserve"> ([GC], n</w:t>
      </w:r>
      <w:r w:rsidR="00AD6316" w:rsidRPr="00AD6316">
        <w:rPr>
          <w:vertAlign w:val="superscript"/>
          <w:lang w:val="fr-FR"/>
        </w:rPr>
        <w:t>o</w:t>
      </w:r>
      <w:r>
        <w:rPr>
          <w:lang w:val="fr-FR"/>
        </w:rPr>
        <w:t> </w:t>
      </w:r>
      <w:r w:rsidRPr="008A6218">
        <w:rPr>
          <w:lang w:val="fr-FR"/>
        </w:rPr>
        <w:t>74912/01</w:t>
      </w:r>
      <w:r>
        <w:rPr>
          <w:lang w:val="fr-FR"/>
        </w:rPr>
        <w:t>,</w:t>
      </w:r>
      <w:r w:rsidRPr="008A6218">
        <w:rPr>
          <w:lang w:val="fr-FR"/>
        </w:rPr>
        <w:t xml:space="preserve"> §§ 30-47, CEDH 1999).</w:t>
      </w:r>
    </w:p>
    <w:p w:rsidR="00067527" w:rsidRPr="008A6218" w:rsidRDefault="00067527" w:rsidP="008A7892">
      <w:pPr>
        <w:pStyle w:val="ECHRPara"/>
        <w:rPr>
          <w:lang w:val="fr-FR"/>
        </w:rPr>
      </w:pPr>
      <w:r>
        <w:rPr>
          <w:lang w:val="fr-FR"/>
        </w:rPr>
        <w:t>21</w:t>
      </w:r>
      <w:r w:rsidRPr="00521F1F">
        <w:rPr>
          <w:lang w:val="fr-FR"/>
        </w:rPr>
        <w:t>.  L</w:t>
      </w:r>
      <w:r w:rsidR="009E3984">
        <w:rPr>
          <w:lang w:val="fr-FR"/>
        </w:rPr>
        <w:t>’</w:t>
      </w:r>
      <w:r w:rsidRPr="00521F1F">
        <w:rPr>
          <w:lang w:val="fr-FR"/>
        </w:rPr>
        <w:t xml:space="preserve">article 41 </w:t>
      </w:r>
      <w:r w:rsidRPr="009F3603">
        <w:rPr>
          <w:i/>
          <w:lang w:val="fr-FR"/>
        </w:rPr>
        <w:t>bis</w:t>
      </w:r>
      <w:r w:rsidRPr="00521F1F">
        <w:rPr>
          <w:lang w:val="fr-FR"/>
        </w:rPr>
        <w:t xml:space="preserve">, alinéa 2 </w:t>
      </w:r>
      <w:r w:rsidRPr="009F3603">
        <w:rPr>
          <w:i/>
          <w:lang w:val="fr-FR"/>
        </w:rPr>
        <w:t>quater</w:t>
      </w:r>
      <w:r w:rsidRPr="00521F1F">
        <w:rPr>
          <w:lang w:val="fr-FR"/>
        </w:rPr>
        <w:t xml:space="preserve"> b), de </w:t>
      </w:r>
      <w:r>
        <w:rPr>
          <w:lang w:val="fr-FR"/>
        </w:rPr>
        <w:t>cette loi</w:t>
      </w:r>
      <w:r w:rsidRPr="008A6218">
        <w:rPr>
          <w:lang w:val="fr-FR"/>
        </w:rPr>
        <w:t xml:space="preserve"> </w:t>
      </w:r>
      <w:r>
        <w:rPr>
          <w:lang w:val="fr-FR"/>
        </w:rPr>
        <w:t>donnait aux</w:t>
      </w:r>
      <w:r w:rsidRPr="008A6218">
        <w:rPr>
          <w:lang w:val="fr-FR"/>
        </w:rPr>
        <w:t xml:space="preserve"> détenus </w:t>
      </w:r>
      <w:r>
        <w:rPr>
          <w:lang w:val="fr-FR"/>
        </w:rPr>
        <w:t>la possibilité de</w:t>
      </w:r>
      <w:r w:rsidRPr="008A6218">
        <w:rPr>
          <w:lang w:val="fr-FR"/>
        </w:rPr>
        <w:t xml:space="preserve"> </w:t>
      </w:r>
      <w:r>
        <w:rPr>
          <w:lang w:val="fr-FR"/>
        </w:rPr>
        <w:t xml:space="preserve">parler à </w:t>
      </w:r>
      <w:r w:rsidRPr="008A6218">
        <w:rPr>
          <w:lang w:val="fr-FR"/>
        </w:rPr>
        <w:t>le</w:t>
      </w:r>
      <w:r>
        <w:rPr>
          <w:lang w:val="fr-FR"/>
        </w:rPr>
        <w:t>urs</w:t>
      </w:r>
      <w:r w:rsidRPr="008A6218">
        <w:rPr>
          <w:lang w:val="fr-FR"/>
        </w:rPr>
        <w:t xml:space="preserve"> avocats </w:t>
      </w:r>
      <w:r>
        <w:rPr>
          <w:lang w:val="fr-FR"/>
        </w:rPr>
        <w:t xml:space="preserve">au </w:t>
      </w:r>
      <w:r w:rsidRPr="008A6218">
        <w:rPr>
          <w:lang w:val="fr-FR"/>
        </w:rPr>
        <w:t xml:space="preserve">maximum trois fois par semaine, soit </w:t>
      </w:r>
      <w:r>
        <w:rPr>
          <w:lang w:val="fr-FR"/>
        </w:rPr>
        <w:t>par téléphone pour une durée de</w:t>
      </w:r>
      <w:r w:rsidRPr="008A6218">
        <w:rPr>
          <w:lang w:val="fr-FR"/>
        </w:rPr>
        <w:t xml:space="preserve"> dix minutes</w:t>
      </w:r>
      <w:r>
        <w:rPr>
          <w:lang w:val="fr-FR"/>
        </w:rPr>
        <w:t xml:space="preserve"> chaque fois,</w:t>
      </w:r>
      <w:r w:rsidRPr="008A6218">
        <w:rPr>
          <w:lang w:val="fr-FR"/>
        </w:rPr>
        <w:t xml:space="preserve"> </w:t>
      </w:r>
      <w:r>
        <w:rPr>
          <w:lang w:val="fr-FR"/>
        </w:rPr>
        <w:t>soit directement lors</w:t>
      </w:r>
      <w:r w:rsidRPr="008A6218">
        <w:rPr>
          <w:lang w:val="fr-FR"/>
        </w:rPr>
        <w:t xml:space="preserve"> d</w:t>
      </w:r>
      <w:r w:rsidR="009E3984">
        <w:rPr>
          <w:lang w:val="fr-FR"/>
        </w:rPr>
        <w:t>’</w:t>
      </w:r>
      <w:r w:rsidRPr="008A6218">
        <w:rPr>
          <w:lang w:val="fr-FR"/>
        </w:rPr>
        <w:t>un entretien d</w:t>
      </w:r>
      <w:r w:rsidR="009E3984">
        <w:rPr>
          <w:lang w:val="fr-FR"/>
        </w:rPr>
        <w:t>’</w:t>
      </w:r>
      <w:r w:rsidRPr="008A6218">
        <w:rPr>
          <w:lang w:val="fr-FR"/>
        </w:rPr>
        <w:t>une heure</w:t>
      </w:r>
      <w:r>
        <w:rPr>
          <w:lang w:val="fr-FR"/>
        </w:rPr>
        <w:t xml:space="preserve"> chacun</w:t>
      </w:r>
      <w:r w:rsidRPr="008A6218">
        <w:rPr>
          <w:lang w:val="fr-FR"/>
        </w:rPr>
        <w:t>.</w:t>
      </w:r>
    </w:p>
    <w:p w:rsidR="00067527" w:rsidRPr="002E72DC" w:rsidRDefault="00067527" w:rsidP="008A7892">
      <w:pPr>
        <w:pStyle w:val="ECHRPara"/>
        <w:rPr>
          <w:lang w:val="fr-FR"/>
        </w:rPr>
      </w:pPr>
      <w:r>
        <w:rPr>
          <w:lang w:val="fr-FR"/>
        </w:rPr>
        <w:t>22</w:t>
      </w:r>
      <w:r w:rsidRPr="008A6218">
        <w:rPr>
          <w:lang w:val="fr-FR"/>
        </w:rPr>
        <w:t>.  </w:t>
      </w:r>
      <w:r>
        <w:rPr>
          <w:lang w:val="fr-FR"/>
        </w:rPr>
        <w:t>Cette partie des dispositions de l</w:t>
      </w:r>
      <w:r w:rsidR="009E3984">
        <w:rPr>
          <w:lang w:val="fr-FR"/>
        </w:rPr>
        <w:t>’</w:t>
      </w:r>
      <w:r>
        <w:rPr>
          <w:lang w:val="fr-FR"/>
        </w:rPr>
        <w:t xml:space="preserve">article 41 </w:t>
      </w:r>
      <w:r w:rsidRPr="009F3603">
        <w:rPr>
          <w:i/>
          <w:lang w:val="fr-FR"/>
        </w:rPr>
        <w:t>bis</w:t>
      </w:r>
      <w:r>
        <w:rPr>
          <w:lang w:val="fr-FR"/>
        </w:rPr>
        <w:t xml:space="preserve"> </w:t>
      </w:r>
      <w:r w:rsidRPr="008A6218">
        <w:rPr>
          <w:lang w:val="fr-FR"/>
        </w:rPr>
        <w:t xml:space="preserve">de la loi </w:t>
      </w:r>
      <w:r>
        <w:rPr>
          <w:lang w:val="fr-FR"/>
        </w:rPr>
        <w:t xml:space="preserve">du </w:t>
      </w:r>
      <w:r w:rsidRPr="008A6218">
        <w:rPr>
          <w:lang w:val="fr-FR"/>
        </w:rPr>
        <w:t>26 juillet</w:t>
      </w:r>
      <w:r w:rsidR="00187BCB">
        <w:rPr>
          <w:lang w:val="fr-FR"/>
        </w:rPr>
        <w:t> </w:t>
      </w:r>
      <w:r w:rsidRPr="008A6218">
        <w:rPr>
          <w:lang w:val="fr-FR"/>
        </w:rPr>
        <w:t>1975</w:t>
      </w:r>
      <w:r>
        <w:rPr>
          <w:lang w:val="fr-FR"/>
        </w:rPr>
        <w:t xml:space="preserve"> a été déclarée inconstitutionnelle p</w:t>
      </w:r>
      <w:r w:rsidRPr="008A6218">
        <w:rPr>
          <w:lang w:val="fr-FR"/>
        </w:rPr>
        <w:t>ar un arrêt du 17</w:t>
      </w:r>
      <w:r w:rsidR="00187BCB">
        <w:rPr>
          <w:lang w:val="fr-FR"/>
        </w:rPr>
        <w:t> </w:t>
      </w:r>
      <w:r w:rsidRPr="008A6218">
        <w:rPr>
          <w:lang w:val="fr-FR"/>
        </w:rPr>
        <w:t>juin</w:t>
      </w:r>
      <w:r w:rsidR="00187BCB">
        <w:rPr>
          <w:lang w:val="fr-FR"/>
        </w:rPr>
        <w:t> </w:t>
      </w:r>
      <w:r w:rsidRPr="008A6218">
        <w:rPr>
          <w:lang w:val="fr-FR"/>
        </w:rPr>
        <w:t>2013</w:t>
      </w:r>
      <w:r>
        <w:rPr>
          <w:lang w:val="fr-FR"/>
        </w:rPr>
        <w:t xml:space="preserve"> de</w:t>
      </w:r>
      <w:r w:rsidRPr="008A6218">
        <w:rPr>
          <w:lang w:val="fr-FR"/>
        </w:rPr>
        <w:t xml:space="preserve"> la Cour constitutionnelle. </w:t>
      </w:r>
      <w:r>
        <w:rPr>
          <w:lang w:val="fr-FR"/>
        </w:rPr>
        <w:t xml:space="preserve">Dans cet arrêt, la Cour constitutionnelle a fait </w:t>
      </w:r>
      <w:r w:rsidRPr="008A6218">
        <w:rPr>
          <w:lang w:val="fr-FR"/>
        </w:rPr>
        <w:t>un résumé de la jurisprudence de la Cour européenne (</w:t>
      </w:r>
      <w:r w:rsidRPr="008A6218">
        <w:rPr>
          <w:i/>
          <w:lang w:val="fr-FR"/>
        </w:rPr>
        <w:t>Rybacki c.</w:t>
      </w:r>
      <w:r>
        <w:rPr>
          <w:i/>
          <w:lang w:val="fr-FR"/>
        </w:rPr>
        <w:t> </w:t>
      </w:r>
      <w:r w:rsidRPr="008A6218">
        <w:rPr>
          <w:i/>
          <w:lang w:val="fr-FR"/>
        </w:rPr>
        <w:t>Pologne</w:t>
      </w:r>
      <w:r w:rsidRPr="008A6218">
        <w:rPr>
          <w:lang w:val="fr-FR"/>
        </w:rPr>
        <w:t>, n</w:t>
      </w:r>
      <w:r w:rsidRPr="008A6218">
        <w:rPr>
          <w:vertAlign w:val="superscript"/>
          <w:lang w:val="fr-FR"/>
        </w:rPr>
        <w:t>o</w:t>
      </w:r>
      <w:r w:rsidRPr="008A6218">
        <w:rPr>
          <w:lang w:val="fr-FR"/>
        </w:rPr>
        <w:t xml:space="preserve"> 52479/99, 13 janvier 2009, </w:t>
      </w:r>
      <w:r w:rsidRPr="008A6218">
        <w:rPr>
          <w:i/>
          <w:lang w:val="fr-FR"/>
        </w:rPr>
        <w:t>Asciutto c. Italie</w:t>
      </w:r>
      <w:r w:rsidRPr="008A6218">
        <w:rPr>
          <w:lang w:val="fr-FR"/>
        </w:rPr>
        <w:t>, n</w:t>
      </w:r>
      <w:r w:rsidRPr="008A6218">
        <w:rPr>
          <w:vertAlign w:val="superscript"/>
          <w:lang w:val="fr-FR"/>
        </w:rPr>
        <w:t>o</w:t>
      </w:r>
      <w:r>
        <w:rPr>
          <w:lang w:val="fr-FR"/>
        </w:rPr>
        <w:t> </w:t>
      </w:r>
      <w:r w:rsidRPr="008A6218">
        <w:rPr>
          <w:lang w:val="fr-FR"/>
        </w:rPr>
        <w:t xml:space="preserve">35795/02, </w:t>
      </w:r>
      <w:r w:rsidRPr="00E45A19">
        <w:rPr>
          <w:lang w:val="fr-FR"/>
        </w:rPr>
        <w:t>27</w:t>
      </w:r>
      <w:r w:rsidR="00187BCB">
        <w:rPr>
          <w:lang w:val="fr-FR"/>
        </w:rPr>
        <w:t> </w:t>
      </w:r>
      <w:r w:rsidRPr="00E45A19">
        <w:rPr>
          <w:lang w:val="fr-FR"/>
        </w:rPr>
        <w:t>novembre</w:t>
      </w:r>
      <w:r w:rsidR="00187BCB">
        <w:rPr>
          <w:lang w:val="fr-FR"/>
        </w:rPr>
        <w:t> </w:t>
      </w:r>
      <w:r w:rsidRPr="00E45A19">
        <w:rPr>
          <w:lang w:val="fr-FR"/>
        </w:rPr>
        <w:t>2007,</w:t>
      </w:r>
      <w:r w:rsidRPr="00E45A19">
        <w:rPr>
          <w:i/>
          <w:lang w:val="fr-FR"/>
        </w:rPr>
        <w:t xml:space="preserve"> Zagaria c. Italie</w:t>
      </w:r>
      <w:r w:rsidRPr="00E45A19">
        <w:rPr>
          <w:lang w:val="fr-FR"/>
        </w:rPr>
        <w:t>, n</w:t>
      </w:r>
      <w:r w:rsidRPr="00E45A19">
        <w:rPr>
          <w:vertAlign w:val="superscript"/>
          <w:lang w:val="fr-FR"/>
        </w:rPr>
        <w:t>o</w:t>
      </w:r>
      <w:r w:rsidRPr="00E45A19">
        <w:rPr>
          <w:lang w:val="fr-FR"/>
        </w:rPr>
        <w:t xml:space="preserve"> 58295/00, 27 </w:t>
      </w:r>
      <w:r w:rsidR="00187BCB">
        <w:rPr>
          <w:lang w:val="fr-FR"/>
        </w:rPr>
        <w:t>novembre </w:t>
      </w:r>
      <w:r w:rsidRPr="00E45A19">
        <w:rPr>
          <w:lang w:val="fr-FR"/>
        </w:rPr>
        <w:t>2007,</w:t>
      </w:r>
      <w:r w:rsidRPr="00E45A19">
        <w:rPr>
          <w:i/>
          <w:lang w:val="fr-FR"/>
        </w:rPr>
        <w:t xml:space="preserve"> Sakhnovski c. Russie </w:t>
      </w:r>
      <w:r w:rsidRPr="00E45A19">
        <w:rPr>
          <w:lang w:val="fr-FR"/>
        </w:rPr>
        <w:t>[GC], n</w:t>
      </w:r>
      <w:r w:rsidRPr="00E45A19">
        <w:rPr>
          <w:vertAlign w:val="superscript"/>
          <w:lang w:val="fr-FR"/>
        </w:rPr>
        <w:t>o</w:t>
      </w:r>
      <w:r w:rsidRPr="00E45A19">
        <w:rPr>
          <w:lang w:val="fr-FR"/>
        </w:rPr>
        <w:t xml:space="preserve"> 21272/03, 2 novembre 2010, </w:t>
      </w:r>
      <w:r w:rsidR="00481D05">
        <w:rPr>
          <w:lang w:val="fr-FR"/>
        </w:rPr>
        <w:t xml:space="preserve">et </w:t>
      </w:r>
      <w:r w:rsidRPr="00E45A19">
        <w:rPr>
          <w:i/>
          <w:lang w:val="fr-FR"/>
        </w:rPr>
        <w:t>Öcalan c. Turquie</w:t>
      </w:r>
      <w:r w:rsidRPr="009F3603">
        <w:rPr>
          <w:lang w:val="fr-FR"/>
        </w:rPr>
        <w:t xml:space="preserve"> [GC],</w:t>
      </w:r>
      <w:r w:rsidRPr="00E45A19">
        <w:rPr>
          <w:i/>
          <w:lang w:val="fr-FR"/>
        </w:rPr>
        <w:t xml:space="preserve"> </w:t>
      </w:r>
      <w:r w:rsidRPr="00E45A19">
        <w:rPr>
          <w:lang w:val="fr-FR"/>
        </w:rPr>
        <w:t>n</w:t>
      </w:r>
      <w:r w:rsidRPr="00E45A19">
        <w:rPr>
          <w:vertAlign w:val="superscript"/>
          <w:lang w:val="fr-FR"/>
        </w:rPr>
        <w:t>o</w:t>
      </w:r>
      <w:r>
        <w:rPr>
          <w:lang w:val="fr-FR"/>
        </w:rPr>
        <w:t> </w:t>
      </w:r>
      <w:r w:rsidRPr="00E45A19">
        <w:rPr>
          <w:lang w:val="fr-FR"/>
        </w:rPr>
        <w:t>46221/99, CEDH 2005</w:t>
      </w:r>
      <w:r w:rsidRPr="00E45A19">
        <w:rPr>
          <w:lang w:val="fr-FR"/>
        </w:rPr>
        <w:noBreakHyphen/>
        <w:t>IV) et a rappelé les dispositions de la Recommandation (2006)2 du Comité des Ministres aux États membres sur les Règles pénitentiaires européennes du 11 janvier 2006. Puis elle a</w:t>
      </w:r>
      <w:r w:rsidRPr="008A6218">
        <w:rPr>
          <w:lang w:val="fr-FR"/>
        </w:rPr>
        <w:t xml:space="preserve"> </w:t>
      </w:r>
      <w:r>
        <w:rPr>
          <w:lang w:val="fr-FR"/>
        </w:rPr>
        <w:t xml:space="preserve">jugé </w:t>
      </w:r>
      <w:r w:rsidRPr="008A6218">
        <w:rPr>
          <w:lang w:val="fr-FR"/>
        </w:rPr>
        <w:t xml:space="preserve">que les restrictions imposées </w:t>
      </w:r>
      <w:r>
        <w:rPr>
          <w:lang w:val="fr-FR"/>
        </w:rPr>
        <w:t>par l</w:t>
      </w:r>
      <w:r w:rsidR="009E3984">
        <w:rPr>
          <w:lang w:val="fr-FR"/>
        </w:rPr>
        <w:t>’</w:t>
      </w:r>
      <w:r>
        <w:rPr>
          <w:lang w:val="fr-FR"/>
        </w:rPr>
        <w:t xml:space="preserve">article 41 </w:t>
      </w:r>
      <w:r w:rsidRPr="009F3603">
        <w:rPr>
          <w:i/>
          <w:lang w:val="fr-FR"/>
        </w:rPr>
        <w:t>bis</w:t>
      </w:r>
      <w:r w:rsidRPr="008A6218">
        <w:rPr>
          <w:lang w:val="fr-FR"/>
        </w:rPr>
        <w:t xml:space="preserve"> </w:t>
      </w:r>
      <w:r>
        <w:rPr>
          <w:lang w:val="fr-FR"/>
        </w:rPr>
        <w:t xml:space="preserve">au droit à la défense </w:t>
      </w:r>
      <w:r w:rsidRPr="008A6218">
        <w:rPr>
          <w:lang w:val="fr-FR"/>
        </w:rPr>
        <w:t>étaient incompatibles avec l</w:t>
      </w:r>
      <w:r w:rsidR="009E3984">
        <w:rPr>
          <w:lang w:val="fr-FR"/>
        </w:rPr>
        <w:t>’</w:t>
      </w:r>
      <w:r w:rsidRPr="008A6218">
        <w:rPr>
          <w:lang w:val="fr-FR"/>
        </w:rPr>
        <w:t xml:space="preserve">article 24 de la Constitution </w:t>
      </w:r>
      <w:r>
        <w:rPr>
          <w:lang w:val="fr-FR"/>
        </w:rPr>
        <w:t>et qu</w:t>
      </w:r>
      <w:r w:rsidR="009E3984">
        <w:rPr>
          <w:lang w:val="fr-FR"/>
        </w:rPr>
        <w:t>’</w:t>
      </w:r>
      <w:r>
        <w:rPr>
          <w:lang w:val="fr-FR"/>
        </w:rPr>
        <w:t>elles</w:t>
      </w:r>
      <w:r w:rsidRPr="008A6218">
        <w:rPr>
          <w:lang w:val="fr-FR"/>
        </w:rPr>
        <w:t xml:space="preserve"> n</w:t>
      </w:r>
      <w:r w:rsidR="009E3984">
        <w:rPr>
          <w:lang w:val="fr-FR"/>
        </w:rPr>
        <w:t>’</w:t>
      </w:r>
      <w:r>
        <w:rPr>
          <w:lang w:val="fr-FR"/>
        </w:rPr>
        <w:t xml:space="preserve">avaient </w:t>
      </w:r>
      <w:r w:rsidRPr="008A6218">
        <w:rPr>
          <w:lang w:val="fr-FR"/>
        </w:rPr>
        <w:t xml:space="preserve">pas </w:t>
      </w:r>
      <w:r>
        <w:rPr>
          <w:lang w:val="fr-FR"/>
        </w:rPr>
        <w:t>pour but</w:t>
      </w:r>
      <w:r w:rsidRPr="008A6218">
        <w:rPr>
          <w:lang w:val="fr-FR"/>
        </w:rPr>
        <w:t xml:space="preserve"> la sauvegarde de l</w:t>
      </w:r>
      <w:r w:rsidR="009E3984">
        <w:rPr>
          <w:lang w:val="fr-FR"/>
        </w:rPr>
        <w:t>’</w:t>
      </w:r>
      <w:r w:rsidRPr="008A6218">
        <w:rPr>
          <w:lang w:val="fr-FR"/>
        </w:rPr>
        <w:t xml:space="preserve">ordre public ou </w:t>
      </w:r>
      <w:r>
        <w:rPr>
          <w:lang w:val="fr-FR"/>
        </w:rPr>
        <w:t>la préservation de</w:t>
      </w:r>
      <w:r w:rsidRPr="008A6218">
        <w:rPr>
          <w:lang w:val="fr-FR"/>
        </w:rPr>
        <w:t xml:space="preserve"> la sécurité des citoyens</w:t>
      </w:r>
      <w:r>
        <w:rPr>
          <w:lang w:val="fr-FR"/>
        </w:rPr>
        <w:t>.</w:t>
      </w:r>
    </w:p>
    <w:p w:rsidR="00067527" w:rsidRPr="006B54C6" w:rsidRDefault="00067527" w:rsidP="008A7892">
      <w:pPr>
        <w:pStyle w:val="ECHRTitle1"/>
        <w:rPr>
          <w:lang w:val="fr-FR"/>
        </w:rPr>
      </w:pPr>
      <w:r w:rsidRPr="006B54C6">
        <w:rPr>
          <w:lang w:val="fr-FR"/>
        </w:rPr>
        <w:lastRenderedPageBreak/>
        <w:t>GRIEFS</w:t>
      </w:r>
    </w:p>
    <w:p w:rsidR="00067527" w:rsidRPr="006B54C6" w:rsidRDefault="00067527" w:rsidP="008A7892">
      <w:pPr>
        <w:pStyle w:val="ECHRPara"/>
        <w:rPr>
          <w:lang w:val="fr-FR"/>
        </w:rPr>
      </w:pPr>
      <w:r>
        <w:rPr>
          <w:lang w:val="fr-FR"/>
        </w:rPr>
        <w:t>23</w:t>
      </w:r>
      <w:r w:rsidRPr="00E45A19">
        <w:rPr>
          <w:lang w:val="fr-FR"/>
        </w:rPr>
        <w:t>.  Invoquant l</w:t>
      </w:r>
      <w:r w:rsidR="009E3984">
        <w:rPr>
          <w:lang w:val="fr-FR"/>
        </w:rPr>
        <w:t>’</w:t>
      </w:r>
      <w:r w:rsidRPr="00E45A19">
        <w:rPr>
          <w:lang w:val="fr-FR"/>
        </w:rPr>
        <w:t>article 6 § 3 b) de la Convention, le requérant se plaint des</w:t>
      </w:r>
      <w:r w:rsidRPr="00E45A19">
        <w:rPr>
          <w:rFonts w:ascii="Times New Roman" w:eastAsia="Times New Roman" w:hAnsi="Times New Roman" w:cs="Times New Roman"/>
          <w:snapToGrid w:val="0"/>
          <w:szCs w:val="20"/>
          <w:lang w:val="fr-FR"/>
        </w:rPr>
        <w:t xml:space="preserve"> </w:t>
      </w:r>
      <w:r w:rsidRPr="00E45A19">
        <w:rPr>
          <w:rFonts w:ascii="Times New Roman" w:eastAsia="Times New Roman" w:hAnsi="Times New Roman" w:cs="Times New Roman"/>
          <w:szCs w:val="20"/>
          <w:lang w:val="fr-FR"/>
        </w:rPr>
        <w:t>restrictions qui lui auraient été imposées quant au nombre et à la durée de ses entretiens avec son avocat, qu</w:t>
      </w:r>
      <w:r w:rsidR="009E3984">
        <w:rPr>
          <w:rFonts w:ascii="Times New Roman" w:eastAsia="Times New Roman" w:hAnsi="Times New Roman" w:cs="Times New Roman"/>
          <w:szCs w:val="20"/>
          <w:lang w:val="fr-FR"/>
        </w:rPr>
        <w:t>’</w:t>
      </w:r>
      <w:r w:rsidRPr="00E45A19">
        <w:rPr>
          <w:rFonts w:ascii="Times New Roman" w:eastAsia="Times New Roman" w:hAnsi="Times New Roman" w:cs="Times New Roman"/>
          <w:szCs w:val="20"/>
          <w:lang w:val="fr-FR"/>
        </w:rPr>
        <w:t>il s</w:t>
      </w:r>
      <w:r w:rsidR="009E3984">
        <w:rPr>
          <w:rFonts w:ascii="Times New Roman" w:eastAsia="Times New Roman" w:hAnsi="Times New Roman" w:cs="Times New Roman"/>
          <w:szCs w:val="20"/>
          <w:lang w:val="fr-FR"/>
        </w:rPr>
        <w:t>’</w:t>
      </w:r>
      <w:r w:rsidRPr="00E45A19">
        <w:rPr>
          <w:rFonts w:ascii="Times New Roman" w:eastAsia="Times New Roman" w:hAnsi="Times New Roman" w:cs="Times New Roman"/>
          <w:szCs w:val="20"/>
          <w:lang w:val="fr-FR"/>
        </w:rPr>
        <w:t>agisse d</w:t>
      </w:r>
      <w:r w:rsidR="009E3984">
        <w:rPr>
          <w:rFonts w:ascii="Times New Roman" w:eastAsia="Times New Roman" w:hAnsi="Times New Roman" w:cs="Times New Roman"/>
          <w:szCs w:val="20"/>
          <w:lang w:val="fr-FR"/>
        </w:rPr>
        <w:t>’</w:t>
      </w:r>
      <w:r w:rsidRPr="00E45A19">
        <w:rPr>
          <w:rFonts w:ascii="Times New Roman" w:eastAsia="Times New Roman" w:hAnsi="Times New Roman" w:cs="Times New Roman"/>
          <w:szCs w:val="20"/>
          <w:lang w:val="fr-FR"/>
        </w:rPr>
        <w:t>entretiens en face à face ou de conversations téléphoniques.</w:t>
      </w:r>
    </w:p>
    <w:p w:rsidR="00067527" w:rsidRDefault="00067527" w:rsidP="008A7892">
      <w:pPr>
        <w:pStyle w:val="ECHRTitle1"/>
        <w:rPr>
          <w:lang w:val="fr-FR"/>
        </w:rPr>
      </w:pPr>
      <w:r w:rsidRPr="007B585E">
        <w:rPr>
          <w:lang w:val="fr-FR"/>
        </w:rPr>
        <w:t>EN DROIT</w:t>
      </w:r>
    </w:p>
    <w:p w:rsidR="00067527" w:rsidRPr="008A6218" w:rsidRDefault="00067527" w:rsidP="009B11AD">
      <w:pPr>
        <w:pStyle w:val="ECHRPara"/>
        <w:rPr>
          <w:rFonts w:eastAsia="Times New Roman"/>
          <w:lang w:val="fr-FR"/>
        </w:rPr>
      </w:pPr>
      <w:r>
        <w:rPr>
          <w:rFonts w:eastAsia="Times New Roman"/>
          <w:lang w:val="fr-FR"/>
        </w:rPr>
        <w:t>24.  Le requérant s</w:t>
      </w:r>
      <w:r w:rsidR="009E3984">
        <w:rPr>
          <w:rFonts w:eastAsia="Times New Roman"/>
          <w:lang w:val="fr-FR"/>
        </w:rPr>
        <w:t>’</w:t>
      </w:r>
      <w:r>
        <w:rPr>
          <w:rFonts w:eastAsia="Times New Roman"/>
          <w:lang w:val="fr-FR"/>
        </w:rPr>
        <w:t>estime victime d</w:t>
      </w:r>
      <w:r w:rsidR="009E3984">
        <w:rPr>
          <w:rFonts w:eastAsia="Times New Roman"/>
          <w:lang w:val="fr-FR"/>
        </w:rPr>
        <w:t>’</w:t>
      </w:r>
      <w:r>
        <w:rPr>
          <w:rFonts w:eastAsia="Times New Roman"/>
          <w:lang w:val="fr-FR"/>
        </w:rPr>
        <w:t xml:space="preserve">une violation de </w:t>
      </w:r>
      <w:r w:rsidRPr="00521F1F">
        <w:rPr>
          <w:rFonts w:eastAsia="Times New Roman"/>
          <w:lang w:val="fr-FR"/>
        </w:rPr>
        <w:t>l</w:t>
      </w:r>
      <w:r w:rsidR="009E3984">
        <w:rPr>
          <w:rFonts w:eastAsia="Times New Roman"/>
          <w:lang w:val="fr-FR"/>
        </w:rPr>
        <w:t>’</w:t>
      </w:r>
      <w:r w:rsidRPr="00521F1F">
        <w:rPr>
          <w:rFonts w:eastAsia="Times New Roman"/>
          <w:lang w:val="fr-FR"/>
        </w:rPr>
        <w:t>article 6 § 3 b) de la Convention, qui est ainsi libellé dans</w:t>
      </w:r>
      <w:r w:rsidRPr="008A6218">
        <w:rPr>
          <w:rFonts w:eastAsia="Times New Roman"/>
          <w:lang w:val="fr-FR"/>
        </w:rPr>
        <w:t xml:space="preserve"> ses partie</w:t>
      </w:r>
      <w:r>
        <w:rPr>
          <w:rFonts w:eastAsia="Times New Roman"/>
          <w:lang w:val="fr-FR"/>
        </w:rPr>
        <w:t>s pertinentes en l</w:t>
      </w:r>
      <w:r w:rsidR="009E3984">
        <w:rPr>
          <w:rFonts w:eastAsia="Times New Roman"/>
          <w:lang w:val="fr-FR"/>
        </w:rPr>
        <w:t>’</w:t>
      </w:r>
      <w:r>
        <w:rPr>
          <w:rFonts w:eastAsia="Times New Roman"/>
          <w:lang w:val="fr-FR"/>
        </w:rPr>
        <w:t>espèce :</w:t>
      </w:r>
    </w:p>
    <w:p w:rsidR="00067527" w:rsidRPr="008A6218" w:rsidRDefault="00067527" w:rsidP="009B11AD">
      <w:pPr>
        <w:pStyle w:val="ECHRParaQuote"/>
        <w:rPr>
          <w:rFonts w:eastAsia="Times New Roman"/>
          <w:lang w:val="fr-FR"/>
        </w:rPr>
      </w:pPr>
      <w:r w:rsidRPr="008A6218">
        <w:rPr>
          <w:rFonts w:eastAsia="Times New Roman"/>
          <w:lang w:val="fr-FR"/>
        </w:rPr>
        <w:t>« 3.  Tout accusé a droit notamment à :</w:t>
      </w:r>
    </w:p>
    <w:p w:rsidR="00067527" w:rsidRPr="008A6218" w:rsidRDefault="00067527" w:rsidP="009B11AD">
      <w:pPr>
        <w:pStyle w:val="ECHRParaQuote"/>
        <w:rPr>
          <w:rFonts w:eastAsia="Times New Roman"/>
          <w:lang w:val="fr-FR"/>
        </w:rPr>
      </w:pPr>
      <w:r w:rsidRPr="008A6218">
        <w:rPr>
          <w:rFonts w:eastAsia="Times New Roman"/>
          <w:lang w:val="fr-FR"/>
        </w:rPr>
        <w:t>(</w:t>
      </w:r>
      <w:r w:rsidR="00AD6316">
        <w:rPr>
          <w:rFonts w:eastAsia="Times New Roman"/>
          <w:lang w:val="fr-FR"/>
        </w:rPr>
        <w:t>...</w:t>
      </w:r>
      <w:r w:rsidRPr="008A6218">
        <w:rPr>
          <w:rFonts w:eastAsia="Times New Roman"/>
          <w:lang w:val="fr-FR"/>
        </w:rPr>
        <w:t>)</w:t>
      </w:r>
    </w:p>
    <w:p w:rsidR="00067527" w:rsidRPr="008A6218" w:rsidRDefault="00067527" w:rsidP="009B11AD">
      <w:pPr>
        <w:pStyle w:val="ECHRParaQuote"/>
        <w:rPr>
          <w:rFonts w:eastAsia="Times New Roman"/>
          <w:lang w:val="fr-FR"/>
        </w:rPr>
      </w:pPr>
      <w:r w:rsidRPr="008A6218">
        <w:rPr>
          <w:rFonts w:eastAsia="Times New Roman"/>
          <w:lang w:val="fr-FR"/>
        </w:rPr>
        <w:t>b)  disposer du temps et des facilités nécessaires à la préparation de sa défense ;</w:t>
      </w:r>
      <w:r>
        <w:rPr>
          <w:rFonts w:eastAsia="Times New Roman"/>
          <w:lang w:val="fr-FR"/>
        </w:rPr>
        <w:t> »</w:t>
      </w:r>
    </w:p>
    <w:p w:rsidR="00067527" w:rsidRDefault="00067527" w:rsidP="008A7892">
      <w:pPr>
        <w:pStyle w:val="ECHRHeading2"/>
        <w:rPr>
          <w:lang w:val="fr-FR"/>
        </w:rPr>
      </w:pPr>
      <w:r w:rsidRPr="008A6218">
        <w:rPr>
          <w:lang w:val="fr-FR"/>
        </w:rPr>
        <w:t>A.</w:t>
      </w:r>
      <w:r>
        <w:rPr>
          <w:lang w:val="fr-FR"/>
        </w:rPr>
        <w:t>  </w:t>
      </w:r>
      <w:r w:rsidRPr="008A6218">
        <w:rPr>
          <w:lang w:val="fr-FR"/>
        </w:rPr>
        <w:t>Thèses des parties</w:t>
      </w:r>
    </w:p>
    <w:p w:rsidR="00AD6316" w:rsidRDefault="00067527" w:rsidP="008A7892">
      <w:pPr>
        <w:pStyle w:val="ECHRPara"/>
        <w:rPr>
          <w:lang w:val="fr-FR"/>
        </w:rPr>
      </w:pPr>
      <w:r>
        <w:rPr>
          <w:lang w:val="fr-FR"/>
        </w:rPr>
        <w:t>25.  </w:t>
      </w:r>
      <w:r w:rsidRPr="00700B30">
        <w:rPr>
          <w:lang w:val="fr-FR"/>
        </w:rPr>
        <w:t>Le Gouvernement excipe du non-épuisement des voies de recours internes</w:t>
      </w:r>
      <w:r>
        <w:rPr>
          <w:lang w:val="fr-FR"/>
        </w:rPr>
        <w:t>. Il considère que</w:t>
      </w:r>
      <w:r w:rsidRPr="00700B30">
        <w:rPr>
          <w:lang w:val="fr-FR"/>
        </w:rPr>
        <w:t xml:space="preserve"> le requérant </w:t>
      </w:r>
      <w:r>
        <w:rPr>
          <w:lang w:val="fr-FR"/>
        </w:rPr>
        <w:t>n</w:t>
      </w:r>
      <w:r w:rsidR="009E3984">
        <w:rPr>
          <w:lang w:val="fr-FR"/>
        </w:rPr>
        <w:t>’</w:t>
      </w:r>
      <w:r>
        <w:rPr>
          <w:lang w:val="fr-FR"/>
        </w:rPr>
        <w:t>a exercé</w:t>
      </w:r>
      <w:r w:rsidRPr="00EE4558">
        <w:rPr>
          <w:lang w:val="fr-FR"/>
        </w:rPr>
        <w:t xml:space="preserve"> </w:t>
      </w:r>
      <w:r>
        <w:rPr>
          <w:lang w:val="fr-FR"/>
        </w:rPr>
        <w:t xml:space="preserve">de recours ni </w:t>
      </w:r>
      <w:r w:rsidRPr="00EE4558">
        <w:rPr>
          <w:lang w:val="fr-FR"/>
        </w:rPr>
        <w:t>devant le tribunal de Pale</w:t>
      </w:r>
      <w:r>
        <w:rPr>
          <w:lang w:val="fr-FR"/>
        </w:rPr>
        <w:t>rme ni devant la cour d</w:t>
      </w:r>
      <w:r w:rsidR="009E3984">
        <w:rPr>
          <w:lang w:val="fr-FR"/>
        </w:rPr>
        <w:t>’</w:t>
      </w:r>
      <w:r>
        <w:rPr>
          <w:lang w:val="fr-FR"/>
        </w:rPr>
        <w:t xml:space="preserve">appel </w:t>
      </w:r>
      <w:r w:rsidRPr="001E19C5">
        <w:rPr>
          <w:lang w:val="fr-FR"/>
        </w:rPr>
        <w:t xml:space="preserve">pour atteinte </w:t>
      </w:r>
      <w:r>
        <w:rPr>
          <w:lang w:val="fr-FR"/>
        </w:rPr>
        <w:t>à son</w:t>
      </w:r>
      <w:r w:rsidRPr="001E19C5">
        <w:rPr>
          <w:lang w:val="fr-FR"/>
        </w:rPr>
        <w:t xml:space="preserve"> droit à la défense </w:t>
      </w:r>
      <w:r>
        <w:rPr>
          <w:lang w:val="fr-FR"/>
        </w:rPr>
        <w:t>en raison des limitations imposées à ses contacts avec son avocat. À cet égard, le Gouvernement produit plusieurs décisions de la Cour de cassation italienne, selon lesquelles l</w:t>
      </w:r>
      <w:r w:rsidR="009E3984">
        <w:rPr>
          <w:lang w:val="fr-FR"/>
        </w:rPr>
        <w:t>’</w:t>
      </w:r>
      <w:r>
        <w:rPr>
          <w:lang w:val="fr-FR"/>
        </w:rPr>
        <w:t>existence d</w:t>
      </w:r>
      <w:r w:rsidR="009E3984">
        <w:rPr>
          <w:lang w:val="fr-FR"/>
        </w:rPr>
        <w:t>’</w:t>
      </w:r>
      <w:r>
        <w:rPr>
          <w:lang w:val="fr-FR"/>
        </w:rPr>
        <w:t>une violation du droit à la défense doit s</w:t>
      </w:r>
      <w:r w:rsidR="009E3984">
        <w:rPr>
          <w:lang w:val="fr-FR"/>
        </w:rPr>
        <w:t>’</w:t>
      </w:r>
      <w:r>
        <w:rPr>
          <w:lang w:val="fr-FR"/>
        </w:rPr>
        <w:t>apprécier au cas par cas et à l</w:t>
      </w:r>
      <w:r w:rsidR="009E3984">
        <w:rPr>
          <w:lang w:val="fr-FR"/>
        </w:rPr>
        <w:t>’</w:t>
      </w:r>
      <w:r>
        <w:rPr>
          <w:lang w:val="fr-FR"/>
        </w:rPr>
        <w:t>aune des circonstances précises de chaque procédure.</w:t>
      </w:r>
    </w:p>
    <w:p w:rsidR="00067527" w:rsidRPr="00EE4558" w:rsidRDefault="00067527" w:rsidP="008A7892">
      <w:pPr>
        <w:pStyle w:val="ECHRPara"/>
        <w:rPr>
          <w:lang w:val="fr-FR"/>
        </w:rPr>
      </w:pPr>
      <w:r>
        <w:rPr>
          <w:lang w:val="fr-FR"/>
        </w:rPr>
        <w:t>26</w:t>
      </w:r>
      <w:r w:rsidRPr="00E45A19">
        <w:rPr>
          <w:lang w:val="fr-FR"/>
        </w:rPr>
        <w:t>.  S</w:t>
      </w:r>
      <w:r w:rsidR="009E3984">
        <w:rPr>
          <w:lang w:val="fr-FR"/>
        </w:rPr>
        <w:t>’</w:t>
      </w:r>
      <w:r w:rsidRPr="00E45A19">
        <w:rPr>
          <w:lang w:val="fr-FR"/>
        </w:rPr>
        <w:t>il admet que le requérant a effectivement soulevé la question de la</w:t>
      </w:r>
      <w:r>
        <w:rPr>
          <w:lang w:val="fr-FR"/>
        </w:rPr>
        <w:t xml:space="preserve"> limitation de ses contacts avec son avocat </w:t>
      </w:r>
      <w:r w:rsidRPr="00EE4558">
        <w:rPr>
          <w:lang w:val="fr-FR"/>
        </w:rPr>
        <w:t>devant</w:t>
      </w:r>
      <w:r>
        <w:rPr>
          <w:lang w:val="fr-FR"/>
        </w:rPr>
        <w:t xml:space="preserve"> le tribunal d</w:t>
      </w:r>
      <w:r w:rsidR="009E3984">
        <w:rPr>
          <w:lang w:val="fr-FR"/>
        </w:rPr>
        <w:t>’</w:t>
      </w:r>
      <w:r>
        <w:rPr>
          <w:lang w:val="fr-FR"/>
        </w:rPr>
        <w:t xml:space="preserve">application des peines puis devant </w:t>
      </w:r>
      <w:r w:rsidRPr="00EE4558">
        <w:rPr>
          <w:lang w:val="fr-FR"/>
        </w:rPr>
        <w:t xml:space="preserve">la </w:t>
      </w:r>
      <w:r>
        <w:rPr>
          <w:lang w:val="fr-FR"/>
        </w:rPr>
        <w:t>C</w:t>
      </w:r>
      <w:r w:rsidRPr="00EE4558">
        <w:rPr>
          <w:lang w:val="fr-FR"/>
        </w:rPr>
        <w:t>our de cassation</w:t>
      </w:r>
      <w:r>
        <w:rPr>
          <w:lang w:val="fr-FR"/>
        </w:rPr>
        <w:t>, le Gouvernement expose que ces deux juridictions ont toutefois rejeté ce grief au motif que le requérant l</w:t>
      </w:r>
      <w:r w:rsidR="009E3984">
        <w:rPr>
          <w:lang w:val="fr-FR"/>
        </w:rPr>
        <w:t>’</w:t>
      </w:r>
      <w:r>
        <w:rPr>
          <w:lang w:val="fr-FR"/>
        </w:rPr>
        <w:t>avait présenté de manière trop générale et qu</w:t>
      </w:r>
      <w:r w:rsidR="009E3984">
        <w:rPr>
          <w:lang w:val="fr-FR"/>
        </w:rPr>
        <w:t>’</w:t>
      </w:r>
      <w:r>
        <w:rPr>
          <w:lang w:val="fr-FR"/>
        </w:rPr>
        <w:t>il n</w:t>
      </w:r>
      <w:r w:rsidR="009E3984">
        <w:rPr>
          <w:lang w:val="fr-FR"/>
        </w:rPr>
        <w:t>’</w:t>
      </w:r>
      <w:r>
        <w:rPr>
          <w:lang w:val="fr-FR"/>
        </w:rPr>
        <w:t xml:space="preserve">avait pas démontré avoir </w:t>
      </w:r>
      <w:r w:rsidRPr="00EE4558">
        <w:rPr>
          <w:lang w:val="fr-FR"/>
        </w:rPr>
        <w:t>subi un préjudice.</w:t>
      </w:r>
    </w:p>
    <w:p w:rsidR="00067527" w:rsidRDefault="00067527" w:rsidP="008A7892">
      <w:pPr>
        <w:pStyle w:val="ECHRPara"/>
        <w:rPr>
          <w:lang w:val="fr-FR"/>
        </w:rPr>
      </w:pPr>
      <w:r>
        <w:rPr>
          <w:lang w:val="fr-FR"/>
        </w:rPr>
        <w:t>27</w:t>
      </w:r>
      <w:r w:rsidRPr="00E45A19">
        <w:rPr>
          <w:lang w:val="fr-FR"/>
        </w:rPr>
        <w:t>.  De plus, pour le Gouvernement, la requête a été introduite avant la</w:t>
      </w:r>
      <w:r>
        <w:rPr>
          <w:lang w:val="fr-FR"/>
        </w:rPr>
        <w:t xml:space="preserve"> fin de</w:t>
      </w:r>
      <w:r w:rsidRPr="00EE4558">
        <w:rPr>
          <w:lang w:val="fr-FR"/>
        </w:rPr>
        <w:t xml:space="preserve"> la procédure devant les juridictions internes </w:t>
      </w:r>
      <w:r>
        <w:rPr>
          <w:lang w:val="fr-FR"/>
        </w:rPr>
        <w:t xml:space="preserve">et ces dernières </w:t>
      </w:r>
      <w:r w:rsidRPr="00EE4558">
        <w:rPr>
          <w:lang w:val="fr-FR"/>
        </w:rPr>
        <w:t>n</w:t>
      </w:r>
      <w:r w:rsidR="009E3984">
        <w:rPr>
          <w:lang w:val="fr-FR"/>
        </w:rPr>
        <w:t>’</w:t>
      </w:r>
      <w:r w:rsidRPr="00EE4558">
        <w:rPr>
          <w:lang w:val="fr-FR"/>
        </w:rPr>
        <w:t xml:space="preserve">ont pas eu </w:t>
      </w:r>
      <w:r>
        <w:rPr>
          <w:lang w:val="fr-FR"/>
        </w:rPr>
        <w:t>la possibilité</w:t>
      </w:r>
      <w:r w:rsidRPr="00EE4558">
        <w:rPr>
          <w:lang w:val="fr-FR"/>
        </w:rPr>
        <w:t xml:space="preserve"> de se prononcer sur les griefs du requérant</w:t>
      </w:r>
      <w:r>
        <w:rPr>
          <w:lang w:val="fr-FR"/>
        </w:rPr>
        <w:t xml:space="preserve"> concernant une violation de son droit à la défense</w:t>
      </w:r>
      <w:r w:rsidRPr="00EE4558">
        <w:rPr>
          <w:lang w:val="fr-FR"/>
        </w:rPr>
        <w:t>.</w:t>
      </w:r>
    </w:p>
    <w:p w:rsidR="00067527" w:rsidRPr="00EE4558" w:rsidRDefault="00067527" w:rsidP="008A7892">
      <w:pPr>
        <w:pStyle w:val="ECHRPara"/>
        <w:rPr>
          <w:lang w:val="fr-FR"/>
        </w:rPr>
      </w:pPr>
      <w:r>
        <w:rPr>
          <w:lang w:val="fr-FR"/>
        </w:rPr>
        <w:t>28.  </w:t>
      </w:r>
      <w:r w:rsidRPr="00EE4558">
        <w:rPr>
          <w:lang w:val="fr-FR"/>
        </w:rPr>
        <w:t xml:space="preserve">Le Gouvernement </w:t>
      </w:r>
      <w:r>
        <w:rPr>
          <w:lang w:val="fr-FR"/>
        </w:rPr>
        <w:t xml:space="preserve">estime </w:t>
      </w:r>
      <w:r w:rsidRPr="00EE4558">
        <w:rPr>
          <w:lang w:val="fr-FR"/>
        </w:rPr>
        <w:t>que la procédure en cause n</w:t>
      </w:r>
      <w:r w:rsidR="009E3984">
        <w:rPr>
          <w:lang w:val="fr-FR"/>
        </w:rPr>
        <w:t>’</w:t>
      </w:r>
      <w:r w:rsidRPr="00EE4558">
        <w:rPr>
          <w:lang w:val="fr-FR"/>
        </w:rPr>
        <w:t>était pas contraire aux exigences de l</w:t>
      </w:r>
      <w:r w:rsidR="009E3984">
        <w:rPr>
          <w:lang w:val="fr-FR"/>
        </w:rPr>
        <w:t>’</w:t>
      </w:r>
      <w:r w:rsidRPr="00EE4558">
        <w:rPr>
          <w:lang w:val="fr-FR"/>
        </w:rPr>
        <w:t xml:space="preserve">article 6 § 3 </w:t>
      </w:r>
      <w:r>
        <w:rPr>
          <w:lang w:val="fr-FR"/>
        </w:rPr>
        <w:t xml:space="preserve">b) et </w:t>
      </w:r>
      <w:r w:rsidRPr="00EE4558">
        <w:rPr>
          <w:lang w:val="fr-FR"/>
        </w:rPr>
        <w:t>c) de la Convention</w:t>
      </w:r>
      <w:r>
        <w:rPr>
          <w:lang w:val="fr-FR"/>
        </w:rPr>
        <w:t>.</w:t>
      </w:r>
    </w:p>
    <w:p w:rsidR="00AD6316" w:rsidRDefault="00067527" w:rsidP="00601DC8">
      <w:pPr>
        <w:pStyle w:val="ECHRPara"/>
        <w:keepNext/>
        <w:keepLines/>
        <w:rPr>
          <w:lang w:val="fr-FR"/>
        </w:rPr>
      </w:pPr>
      <w:r>
        <w:rPr>
          <w:lang w:val="fr-FR"/>
        </w:rPr>
        <w:lastRenderedPageBreak/>
        <w:t xml:space="preserve">29.  Il considère que </w:t>
      </w:r>
      <w:r w:rsidRPr="00E644B7">
        <w:rPr>
          <w:rFonts w:ascii="Times New Roman" w:hAnsi="Times New Roman" w:cs="Times New Roman"/>
          <w:color w:val="000000"/>
          <w:lang w:val="fr-FR"/>
        </w:rPr>
        <w:t xml:space="preserve">le requérant ne </w:t>
      </w:r>
      <w:r>
        <w:rPr>
          <w:rFonts w:ascii="Times New Roman" w:hAnsi="Times New Roman" w:cs="Times New Roman"/>
          <w:color w:val="000000"/>
          <w:lang w:val="fr-FR"/>
        </w:rPr>
        <w:t>peut valablement</w:t>
      </w:r>
      <w:r w:rsidRPr="00E644B7">
        <w:rPr>
          <w:rFonts w:ascii="Times New Roman" w:hAnsi="Times New Roman" w:cs="Times New Roman"/>
          <w:color w:val="000000"/>
          <w:lang w:val="fr-FR"/>
        </w:rPr>
        <w:t xml:space="preserve"> se prétendre victime d</w:t>
      </w:r>
      <w:r w:rsidR="009E3984">
        <w:rPr>
          <w:rFonts w:ascii="Times New Roman" w:hAnsi="Times New Roman" w:cs="Times New Roman"/>
          <w:color w:val="000000"/>
          <w:lang w:val="fr-FR"/>
        </w:rPr>
        <w:t>’</w:t>
      </w:r>
      <w:r>
        <w:rPr>
          <w:rFonts w:ascii="Times New Roman" w:hAnsi="Times New Roman" w:cs="Times New Roman"/>
          <w:color w:val="000000"/>
          <w:lang w:val="fr-FR"/>
        </w:rPr>
        <w:t>une violation de la Convention, arguant que l</w:t>
      </w:r>
      <w:r w:rsidR="009E3984">
        <w:rPr>
          <w:rFonts w:ascii="Times New Roman" w:hAnsi="Times New Roman" w:cs="Times New Roman"/>
          <w:color w:val="000000"/>
          <w:lang w:val="fr-FR"/>
        </w:rPr>
        <w:t>’</w:t>
      </w:r>
      <w:r>
        <w:rPr>
          <w:rFonts w:ascii="Times New Roman" w:hAnsi="Times New Roman" w:cs="Times New Roman"/>
          <w:color w:val="000000"/>
          <w:lang w:val="fr-FR"/>
        </w:rPr>
        <w:t>intéressé</w:t>
      </w:r>
      <w:r>
        <w:rPr>
          <w:lang w:val="fr-FR"/>
        </w:rPr>
        <w:t xml:space="preserve"> </w:t>
      </w:r>
      <w:r w:rsidRPr="008A6218">
        <w:rPr>
          <w:lang w:val="fr-FR"/>
        </w:rPr>
        <w:t>a particip</w:t>
      </w:r>
      <w:r>
        <w:rPr>
          <w:lang w:val="fr-FR"/>
        </w:rPr>
        <w:t>é</w:t>
      </w:r>
      <w:r w:rsidRPr="008A6218">
        <w:rPr>
          <w:lang w:val="fr-FR"/>
        </w:rPr>
        <w:t xml:space="preserve"> à la procédure pénale menée contre lui et </w:t>
      </w:r>
      <w:r>
        <w:rPr>
          <w:lang w:val="fr-FR"/>
        </w:rPr>
        <w:t>qu</w:t>
      </w:r>
      <w:r w:rsidR="009E3984">
        <w:rPr>
          <w:lang w:val="fr-FR"/>
        </w:rPr>
        <w:t>’</w:t>
      </w:r>
      <w:r>
        <w:rPr>
          <w:lang w:val="fr-FR"/>
        </w:rPr>
        <w:t xml:space="preserve">il </w:t>
      </w:r>
      <w:r w:rsidRPr="008A6218">
        <w:rPr>
          <w:lang w:val="fr-FR"/>
        </w:rPr>
        <w:t>a dispos</w:t>
      </w:r>
      <w:r>
        <w:rPr>
          <w:lang w:val="fr-FR"/>
        </w:rPr>
        <w:t>é</w:t>
      </w:r>
      <w:r w:rsidRPr="008A6218">
        <w:rPr>
          <w:lang w:val="fr-FR"/>
        </w:rPr>
        <w:t xml:space="preserve"> du temps et de</w:t>
      </w:r>
      <w:r>
        <w:rPr>
          <w:lang w:val="fr-FR"/>
        </w:rPr>
        <w:t>s</w:t>
      </w:r>
      <w:r w:rsidRPr="008A6218">
        <w:rPr>
          <w:lang w:val="fr-FR"/>
        </w:rPr>
        <w:t xml:space="preserve"> facilité</w:t>
      </w:r>
      <w:r>
        <w:rPr>
          <w:lang w:val="fr-FR"/>
        </w:rPr>
        <w:t>s</w:t>
      </w:r>
      <w:r w:rsidRPr="008A6218">
        <w:rPr>
          <w:lang w:val="fr-FR"/>
        </w:rPr>
        <w:t xml:space="preserve"> </w:t>
      </w:r>
      <w:r>
        <w:rPr>
          <w:lang w:val="fr-FR"/>
        </w:rPr>
        <w:t xml:space="preserve">nécessaires à la préparation de </w:t>
      </w:r>
      <w:r w:rsidRPr="008A6218">
        <w:rPr>
          <w:lang w:val="fr-FR"/>
        </w:rPr>
        <w:t xml:space="preserve">sa défense. </w:t>
      </w:r>
      <w:r>
        <w:rPr>
          <w:lang w:val="fr-FR"/>
        </w:rPr>
        <w:t>Il</w:t>
      </w:r>
      <w:r w:rsidRPr="008A6218">
        <w:rPr>
          <w:lang w:val="fr-FR"/>
        </w:rPr>
        <w:t xml:space="preserve"> </w:t>
      </w:r>
      <w:r>
        <w:rPr>
          <w:lang w:val="fr-FR"/>
        </w:rPr>
        <w:t>ajoute qu</w:t>
      </w:r>
      <w:r w:rsidR="009E3984">
        <w:rPr>
          <w:lang w:val="fr-FR"/>
        </w:rPr>
        <w:t>’</w:t>
      </w:r>
      <w:r w:rsidRPr="008A6218">
        <w:rPr>
          <w:lang w:val="fr-FR"/>
        </w:rPr>
        <w:t>il n</w:t>
      </w:r>
      <w:r w:rsidR="009E3984">
        <w:rPr>
          <w:lang w:val="fr-FR"/>
        </w:rPr>
        <w:t>’</w:t>
      </w:r>
      <w:r w:rsidRPr="008A6218">
        <w:rPr>
          <w:lang w:val="fr-FR"/>
        </w:rPr>
        <w:t>y</w:t>
      </w:r>
      <w:r>
        <w:rPr>
          <w:lang w:val="fr-FR"/>
        </w:rPr>
        <w:t xml:space="preserve"> </w:t>
      </w:r>
      <w:r w:rsidRPr="008A6218">
        <w:rPr>
          <w:lang w:val="fr-FR"/>
        </w:rPr>
        <w:t>a</w:t>
      </w:r>
      <w:r>
        <w:rPr>
          <w:lang w:val="fr-FR"/>
        </w:rPr>
        <w:t xml:space="preserve"> pas </w:t>
      </w:r>
      <w:r w:rsidRPr="008A6218">
        <w:rPr>
          <w:lang w:val="fr-FR"/>
        </w:rPr>
        <w:t xml:space="preserve">eu </w:t>
      </w:r>
      <w:r>
        <w:rPr>
          <w:lang w:val="fr-FR"/>
        </w:rPr>
        <w:t>de</w:t>
      </w:r>
      <w:r w:rsidRPr="008A6218">
        <w:rPr>
          <w:lang w:val="fr-FR"/>
        </w:rPr>
        <w:t xml:space="preserve"> limitation </w:t>
      </w:r>
      <w:r>
        <w:rPr>
          <w:lang w:val="fr-FR"/>
        </w:rPr>
        <w:t>réelle des contacts entre le requérant et son avocat, que le requérant</w:t>
      </w:r>
      <w:r w:rsidRPr="008A6218">
        <w:rPr>
          <w:lang w:val="fr-FR"/>
        </w:rPr>
        <w:t xml:space="preserve"> n</w:t>
      </w:r>
      <w:r w:rsidR="009E3984">
        <w:rPr>
          <w:lang w:val="fr-FR"/>
        </w:rPr>
        <w:t>’</w:t>
      </w:r>
      <w:r w:rsidRPr="008A6218">
        <w:rPr>
          <w:lang w:val="fr-FR"/>
        </w:rPr>
        <w:t xml:space="preserve">a pas utilisé </w:t>
      </w:r>
      <w:r>
        <w:rPr>
          <w:lang w:val="fr-FR"/>
        </w:rPr>
        <w:t>l</w:t>
      </w:r>
      <w:r w:rsidR="009E3984">
        <w:rPr>
          <w:lang w:val="fr-FR"/>
        </w:rPr>
        <w:t>’</w:t>
      </w:r>
      <w:r>
        <w:rPr>
          <w:lang w:val="fr-FR"/>
        </w:rPr>
        <w:t>intégralité du</w:t>
      </w:r>
      <w:r w:rsidRPr="008A6218">
        <w:rPr>
          <w:lang w:val="fr-FR"/>
        </w:rPr>
        <w:t xml:space="preserve"> temps</w:t>
      </w:r>
      <w:r>
        <w:rPr>
          <w:lang w:val="fr-FR"/>
        </w:rPr>
        <w:t xml:space="preserve"> dont il disposait</w:t>
      </w:r>
      <w:r w:rsidRPr="008A6218">
        <w:rPr>
          <w:lang w:val="fr-FR"/>
        </w:rPr>
        <w:t xml:space="preserve"> pour s</w:t>
      </w:r>
      <w:r w:rsidR="009E3984">
        <w:rPr>
          <w:lang w:val="fr-FR"/>
        </w:rPr>
        <w:t>’</w:t>
      </w:r>
      <w:r w:rsidRPr="008A6218">
        <w:rPr>
          <w:lang w:val="fr-FR"/>
        </w:rPr>
        <w:t>entreten</w:t>
      </w:r>
      <w:r>
        <w:rPr>
          <w:lang w:val="fr-FR"/>
        </w:rPr>
        <w:t xml:space="preserve">ir par téléphone avec son </w:t>
      </w:r>
      <w:r w:rsidRPr="003611C7">
        <w:rPr>
          <w:lang w:val="fr-FR"/>
        </w:rPr>
        <w:t>avocat</w:t>
      </w:r>
      <w:r w:rsidRPr="009F3603">
        <w:rPr>
          <w:lang w:val="fr-FR"/>
        </w:rPr>
        <w:t xml:space="preserve"> </w:t>
      </w:r>
      <w:r>
        <w:rPr>
          <w:lang w:val="fr-FR"/>
        </w:rPr>
        <w:t>et qu</w:t>
      </w:r>
      <w:r w:rsidR="009E3984">
        <w:rPr>
          <w:lang w:val="fr-FR"/>
        </w:rPr>
        <w:t>’</w:t>
      </w:r>
      <w:r>
        <w:rPr>
          <w:lang w:val="fr-FR"/>
        </w:rPr>
        <w:t>il</w:t>
      </w:r>
      <w:r w:rsidRPr="008A6218">
        <w:rPr>
          <w:lang w:val="fr-FR"/>
        </w:rPr>
        <w:t xml:space="preserve"> </w:t>
      </w:r>
      <w:r>
        <w:rPr>
          <w:lang w:val="fr-FR"/>
        </w:rPr>
        <w:t>a eu la possibilité de parler</w:t>
      </w:r>
      <w:r w:rsidRPr="008A6218">
        <w:rPr>
          <w:lang w:val="fr-FR"/>
        </w:rPr>
        <w:t xml:space="preserve"> avec </w:t>
      </w:r>
      <w:r>
        <w:rPr>
          <w:lang w:val="fr-FR"/>
        </w:rPr>
        <w:t xml:space="preserve">son </w:t>
      </w:r>
      <w:r w:rsidRPr="008A6218">
        <w:rPr>
          <w:lang w:val="fr-FR"/>
        </w:rPr>
        <w:t>avocat</w:t>
      </w:r>
      <w:r w:rsidRPr="009A3179">
        <w:rPr>
          <w:lang w:val="fr-FR"/>
        </w:rPr>
        <w:t xml:space="preserve"> </w:t>
      </w:r>
      <w:r>
        <w:rPr>
          <w:lang w:val="fr-FR"/>
        </w:rPr>
        <w:t>avant chaque</w:t>
      </w:r>
      <w:r w:rsidRPr="008A6218">
        <w:rPr>
          <w:lang w:val="fr-FR"/>
        </w:rPr>
        <w:t xml:space="preserve"> </w:t>
      </w:r>
      <w:r>
        <w:rPr>
          <w:lang w:val="fr-FR"/>
        </w:rPr>
        <w:t>audience</w:t>
      </w:r>
      <w:r w:rsidRPr="008A6218">
        <w:rPr>
          <w:lang w:val="fr-FR"/>
        </w:rPr>
        <w:t>.</w:t>
      </w:r>
    </w:p>
    <w:p w:rsidR="00067527" w:rsidRDefault="00067527" w:rsidP="008A7892">
      <w:pPr>
        <w:pStyle w:val="ECHRPara"/>
        <w:rPr>
          <w:lang w:val="fr-FR"/>
        </w:rPr>
      </w:pPr>
      <w:r>
        <w:rPr>
          <w:lang w:val="fr-FR"/>
        </w:rPr>
        <w:t>30.  Par conséquent, le Gouvernement soutient qu</w:t>
      </w:r>
      <w:r w:rsidR="009E3984">
        <w:rPr>
          <w:lang w:val="fr-FR"/>
        </w:rPr>
        <w:t>’</w:t>
      </w:r>
      <w:r>
        <w:rPr>
          <w:lang w:val="fr-FR"/>
        </w:rPr>
        <w:t>il n</w:t>
      </w:r>
      <w:r w:rsidR="009E3984">
        <w:rPr>
          <w:lang w:val="fr-FR"/>
        </w:rPr>
        <w:t>’</w:t>
      </w:r>
      <w:r>
        <w:rPr>
          <w:lang w:val="fr-FR"/>
        </w:rPr>
        <w:t>y pas eu violation de l</w:t>
      </w:r>
      <w:r w:rsidR="009E3984">
        <w:rPr>
          <w:lang w:val="fr-FR"/>
        </w:rPr>
        <w:t>’</w:t>
      </w:r>
      <w:r>
        <w:rPr>
          <w:lang w:val="fr-FR"/>
        </w:rPr>
        <w:t xml:space="preserve">article </w:t>
      </w:r>
      <w:r w:rsidRPr="008A6218">
        <w:rPr>
          <w:rFonts w:ascii="Times New Roman" w:eastAsia="Times New Roman" w:hAnsi="Times New Roman" w:cs="Times New Roman"/>
          <w:lang w:val="fr-FR"/>
        </w:rPr>
        <w:t>6 § 3 b) de la Convention</w:t>
      </w:r>
      <w:r>
        <w:rPr>
          <w:rFonts w:ascii="Times New Roman" w:eastAsia="Times New Roman" w:hAnsi="Times New Roman" w:cs="Times New Roman"/>
          <w:lang w:val="fr-FR"/>
        </w:rPr>
        <w:t>.</w:t>
      </w:r>
    </w:p>
    <w:p w:rsidR="00067527" w:rsidRPr="008A6218" w:rsidRDefault="00067527" w:rsidP="008A7892">
      <w:pPr>
        <w:pStyle w:val="ECHRPara"/>
        <w:rPr>
          <w:lang w:val="fr-FR"/>
        </w:rPr>
      </w:pPr>
      <w:r>
        <w:rPr>
          <w:lang w:val="fr-FR"/>
        </w:rPr>
        <w:t>31.  </w:t>
      </w:r>
      <w:r w:rsidRPr="008A6218">
        <w:rPr>
          <w:lang w:val="fr-FR"/>
        </w:rPr>
        <w:t xml:space="preserve">Le requérant </w:t>
      </w:r>
      <w:r>
        <w:rPr>
          <w:lang w:val="fr-FR"/>
        </w:rPr>
        <w:t>conteste</w:t>
      </w:r>
      <w:r w:rsidRPr="008A6218">
        <w:rPr>
          <w:lang w:val="fr-FR"/>
        </w:rPr>
        <w:t xml:space="preserve"> la thèse du Gouvernement. Il </w:t>
      </w:r>
      <w:r>
        <w:rPr>
          <w:lang w:val="fr-FR"/>
        </w:rPr>
        <w:t>plaide</w:t>
      </w:r>
      <w:r w:rsidRPr="008A6218">
        <w:rPr>
          <w:lang w:val="fr-FR"/>
        </w:rPr>
        <w:t xml:space="preserve"> tout d</w:t>
      </w:r>
      <w:r w:rsidR="009E3984">
        <w:rPr>
          <w:lang w:val="fr-FR"/>
        </w:rPr>
        <w:t>’</w:t>
      </w:r>
      <w:r w:rsidRPr="008A6218">
        <w:rPr>
          <w:lang w:val="fr-FR"/>
        </w:rPr>
        <w:t>abord qu</w:t>
      </w:r>
      <w:r w:rsidR="009E3984">
        <w:rPr>
          <w:lang w:val="fr-FR"/>
        </w:rPr>
        <w:t>’</w:t>
      </w:r>
      <w:r w:rsidRPr="008A6218">
        <w:rPr>
          <w:lang w:val="fr-FR"/>
        </w:rPr>
        <w:t>il avait soulevé la question de</w:t>
      </w:r>
      <w:r>
        <w:rPr>
          <w:lang w:val="fr-FR"/>
        </w:rPr>
        <w:t xml:space="preserve"> la</w:t>
      </w:r>
      <w:r w:rsidRPr="008A6218">
        <w:rPr>
          <w:lang w:val="fr-FR"/>
        </w:rPr>
        <w:t xml:space="preserve"> limitation de</w:t>
      </w:r>
      <w:r>
        <w:rPr>
          <w:lang w:val="fr-FR"/>
        </w:rPr>
        <w:t xml:space="preserve"> se</w:t>
      </w:r>
      <w:r w:rsidRPr="008A6218">
        <w:rPr>
          <w:lang w:val="fr-FR"/>
        </w:rPr>
        <w:t xml:space="preserve">s contacts avec </w:t>
      </w:r>
      <w:r>
        <w:rPr>
          <w:lang w:val="fr-FR"/>
        </w:rPr>
        <w:t xml:space="preserve">son </w:t>
      </w:r>
      <w:r w:rsidRPr="008A6218">
        <w:rPr>
          <w:lang w:val="fr-FR"/>
        </w:rPr>
        <w:t>avocat devant le tribunal de Pale</w:t>
      </w:r>
      <w:r>
        <w:rPr>
          <w:lang w:val="fr-FR"/>
        </w:rPr>
        <w:t>rme lors de l</w:t>
      </w:r>
      <w:r w:rsidR="009E3984">
        <w:rPr>
          <w:lang w:val="fr-FR"/>
        </w:rPr>
        <w:t>’</w:t>
      </w:r>
      <w:r>
        <w:rPr>
          <w:lang w:val="fr-FR"/>
        </w:rPr>
        <w:t xml:space="preserve">audience du </w:t>
      </w:r>
      <w:r w:rsidRPr="003611C7">
        <w:rPr>
          <w:lang w:val="fr-FR"/>
        </w:rPr>
        <w:t>5 mai 2010</w:t>
      </w:r>
      <w:r>
        <w:rPr>
          <w:lang w:val="fr-FR"/>
        </w:rPr>
        <w:t xml:space="preserve"> </w:t>
      </w:r>
      <w:r w:rsidRPr="008A6218">
        <w:rPr>
          <w:lang w:val="fr-FR"/>
        </w:rPr>
        <w:t xml:space="preserve">et que le président lui avait répondu </w:t>
      </w:r>
      <w:r>
        <w:rPr>
          <w:lang w:val="fr-FR"/>
        </w:rPr>
        <w:t>que cette</w:t>
      </w:r>
      <w:r w:rsidRPr="008A6218">
        <w:rPr>
          <w:lang w:val="fr-FR"/>
        </w:rPr>
        <w:t xml:space="preserve"> question </w:t>
      </w:r>
      <w:r>
        <w:rPr>
          <w:lang w:val="fr-FR"/>
        </w:rPr>
        <w:t xml:space="preserve">relevait </w:t>
      </w:r>
      <w:r w:rsidRPr="008A6218">
        <w:rPr>
          <w:lang w:val="fr-FR"/>
        </w:rPr>
        <w:t>de la compétence du tribunal d</w:t>
      </w:r>
      <w:r w:rsidR="009E3984">
        <w:rPr>
          <w:lang w:val="fr-FR"/>
        </w:rPr>
        <w:t>’</w:t>
      </w:r>
      <w:r w:rsidRPr="008A6218">
        <w:rPr>
          <w:lang w:val="fr-FR"/>
        </w:rPr>
        <w:t>application des peines.</w:t>
      </w:r>
    </w:p>
    <w:p w:rsidR="00067527" w:rsidRPr="008A6218" w:rsidRDefault="00067527" w:rsidP="008A7892">
      <w:pPr>
        <w:pStyle w:val="ECHRPara"/>
        <w:rPr>
          <w:lang w:val="fr-FR"/>
        </w:rPr>
      </w:pPr>
      <w:r>
        <w:rPr>
          <w:lang w:val="fr-FR"/>
        </w:rPr>
        <w:t>32</w:t>
      </w:r>
      <w:r w:rsidRPr="003611C7">
        <w:rPr>
          <w:lang w:val="fr-FR"/>
        </w:rPr>
        <w:t>.  </w:t>
      </w:r>
      <w:r>
        <w:rPr>
          <w:lang w:val="fr-FR"/>
        </w:rPr>
        <w:t>Il</w:t>
      </w:r>
      <w:r w:rsidRPr="003611C7">
        <w:rPr>
          <w:lang w:val="fr-FR"/>
        </w:rPr>
        <w:t xml:space="preserve"> </w:t>
      </w:r>
      <w:r w:rsidRPr="009F3603">
        <w:rPr>
          <w:lang w:val="fr-FR"/>
        </w:rPr>
        <w:t>rétorque</w:t>
      </w:r>
      <w:r w:rsidRPr="003611C7">
        <w:rPr>
          <w:lang w:val="fr-FR"/>
        </w:rPr>
        <w:t xml:space="preserve"> </w:t>
      </w:r>
      <w:r>
        <w:rPr>
          <w:lang w:val="fr-FR"/>
        </w:rPr>
        <w:t xml:space="preserve">ensuite </w:t>
      </w:r>
      <w:r w:rsidRPr="003611C7">
        <w:rPr>
          <w:lang w:val="fr-FR"/>
        </w:rPr>
        <w:t>qu</w:t>
      </w:r>
      <w:r w:rsidR="009E3984">
        <w:rPr>
          <w:lang w:val="fr-FR"/>
        </w:rPr>
        <w:t>’</w:t>
      </w:r>
      <w:r w:rsidRPr="003611C7">
        <w:rPr>
          <w:lang w:val="fr-FR"/>
        </w:rPr>
        <w:t>il n</w:t>
      </w:r>
      <w:r w:rsidR="009E3984">
        <w:rPr>
          <w:lang w:val="fr-FR"/>
        </w:rPr>
        <w:t>’</w:t>
      </w:r>
      <w:r w:rsidRPr="003611C7">
        <w:rPr>
          <w:lang w:val="fr-FR"/>
        </w:rPr>
        <w:t>a pas présenté aux juridictions internes la question d</w:t>
      </w:r>
      <w:r w:rsidR="009E3984">
        <w:rPr>
          <w:lang w:val="fr-FR"/>
        </w:rPr>
        <w:t>’</w:t>
      </w:r>
      <w:r w:rsidRPr="003611C7">
        <w:rPr>
          <w:lang w:val="fr-FR"/>
        </w:rPr>
        <w:t xml:space="preserve">une violation de son droit à la défense de manière </w:t>
      </w:r>
      <w:r w:rsidRPr="009F3603">
        <w:rPr>
          <w:lang w:val="fr-FR"/>
        </w:rPr>
        <w:t xml:space="preserve">trop </w:t>
      </w:r>
      <w:r w:rsidRPr="003611C7">
        <w:rPr>
          <w:lang w:val="fr-FR"/>
        </w:rPr>
        <w:t xml:space="preserve">générale, </w:t>
      </w:r>
      <w:r>
        <w:rPr>
          <w:lang w:val="fr-FR"/>
        </w:rPr>
        <w:t>dès lors que, à ses dires, il</w:t>
      </w:r>
      <w:r w:rsidRPr="003611C7">
        <w:rPr>
          <w:lang w:val="fr-FR"/>
        </w:rPr>
        <w:t xml:space="preserve"> se plaignait </w:t>
      </w:r>
      <w:r w:rsidRPr="009F3603">
        <w:rPr>
          <w:lang w:val="fr-FR"/>
        </w:rPr>
        <w:t xml:space="preserve">précisément </w:t>
      </w:r>
      <w:r w:rsidRPr="003611C7">
        <w:rPr>
          <w:lang w:val="fr-FR"/>
        </w:rPr>
        <w:t>des limitations imposées par la loi.</w:t>
      </w:r>
    </w:p>
    <w:p w:rsidR="00067527" w:rsidRDefault="00067527" w:rsidP="008A7892">
      <w:pPr>
        <w:pStyle w:val="ECHRPara"/>
        <w:rPr>
          <w:lang w:val="fr-FR"/>
        </w:rPr>
      </w:pPr>
      <w:r>
        <w:rPr>
          <w:lang w:val="fr-FR"/>
        </w:rPr>
        <w:t xml:space="preserve">33.  Enfin, il indique </w:t>
      </w:r>
      <w:r w:rsidRPr="008A6218">
        <w:rPr>
          <w:lang w:val="fr-FR"/>
        </w:rPr>
        <w:t>que la</w:t>
      </w:r>
      <w:r>
        <w:rPr>
          <w:lang w:val="fr-FR"/>
        </w:rPr>
        <w:t xml:space="preserve"> Cour </w:t>
      </w:r>
      <w:r w:rsidRPr="008A6218">
        <w:rPr>
          <w:lang w:val="fr-FR"/>
        </w:rPr>
        <w:t xml:space="preserve">constitutionnelle a jugé que les restrictions imposées </w:t>
      </w:r>
      <w:r>
        <w:rPr>
          <w:lang w:val="fr-FR"/>
        </w:rPr>
        <w:t>par l</w:t>
      </w:r>
      <w:r w:rsidR="009E3984">
        <w:rPr>
          <w:lang w:val="fr-FR"/>
        </w:rPr>
        <w:t>’</w:t>
      </w:r>
      <w:r w:rsidRPr="008A6218">
        <w:rPr>
          <w:lang w:val="fr-FR"/>
        </w:rPr>
        <w:t xml:space="preserve">article 41 </w:t>
      </w:r>
      <w:r w:rsidRPr="009F3603">
        <w:rPr>
          <w:i/>
          <w:lang w:val="fr-FR"/>
        </w:rPr>
        <w:t>bis</w:t>
      </w:r>
      <w:r w:rsidRPr="008A6218">
        <w:rPr>
          <w:lang w:val="fr-FR"/>
        </w:rPr>
        <w:t xml:space="preserve">, alinéa 2 </w:t>
      </w:r>
      <w:r w:rsidRPr="009F3603">
        <w:rPr>
          <w:i/>
          <w:lang w:val="fr-FR"/>
        </w:rPr>
        <w:t>quater</w:t>
      </w:r>
      <w:r w:rsidRPr="008A6218">
        <w:rPr>
          <w:lang w:val="fr-FR"/>
        </w:rPr>
        <w:t xml:space="preserve"> b)</w:t>
      </w:r>
      <w:r>
        <w:rPr>
          <w:lang w:val="fr-FR"/>
        </w:rPr>
        <w:t>,</w:t>
      </w:r>
      <w:r w:rsidRPr="008A6218">
        <w:rPr>
          <w:lang w:val="fr-FR"/>
        </w:rPr>
        <w:t xml:space="preserve"> de la loi n</w:t>
      </w:r>
      <w:r w:rsidR="00AD6316" w:rsidRPr="00AD6316">
        <w:rPr>
          <w:vertAlign w:val="superscript"/>
          <w:lang w:val="fr-FR"/>
        </w:rPr>
        <w:t>o</w:t>
      </w:r>
      <w:r>
        <w:rPr>
          <w:lang w:val="fr-FR"/>
        </w:rPr>
        <w:t> </w:t>
      </w:r>
      <w:r w:rsidRPr="009F3603">
        <w:rPr>
          <w:lang w:val="fr-FR"/>
        </w:rPr>
        <w:t>354</w:t>
      </w:r>
      <w:r>
        <w:rPr>
          <w:lang w:val="fr-FR"/>
        </w:rPr>
        <w:t xml:space="preserve"> du </w:t>
      </w:r>
      <w:r w:rsidRPr="008A6218">
        <w:rPr>
          <w:lang w:val="fr-FR"/>
        </w:rPr>
        <w:t>26 juillet 1975</w:t>
      </w:r>
      <w:r>
        <w:rPr>
          <w:lang w:val="fr-FR"/>
        </w:rPr>
        <w:t xml:space="preserve"> </w:t>
      </w:r>
      <w:r w:rsidRPr="008A6218">
        <w:rPr>
          <w:lang w:val="fr-FR"/>
        </w:rPr>
        <w:t>étaient incompatibles avec l</w:t>
      </w:r>
      <w:r w:rsidR="009E3984">
        <w:rPr>
          <w:lang w:val="fr-FR"/>
        </w:rPr>
        <w:t>’</w:t>
      </w:r>
      <w:r w:rsidRPr="008A6218">
        <w:rPr>
          <w:lang w:val="fr-FR"/>
        </w:rPr>
        <w:t xml:space="preserve">article 24 de la Constitution italienne et que </w:t>
      </w:r>
      <w:r>
        <w:rPr>
          <w:lang w:val="fr-FR"/>
        </w:rPr>
        <w:t>cette</w:t>
      </w:r>
      <w:r w:rsidRPr="008A6218">
        <w:rPr>
          <w:lang w:val="fr-FR"/>
        </w:rPr>
        <w:t xml:space="preserve"> limitation du droit à la défense </w:t>
      </w:r>
      <w:r>
        <w:rPr>
          <w:lang w:val="fr-FR"/>
        </w:rPr>
        <w:t>n</w:t>
      </w:r>
      <w:r w:rsidR="009E3984">
        <w:rPr>
          <w:lang w:val="fr-FR"/>
        </w:rPr>
        <w:t>’</w:t>
      </w:r>
      <w:r>
        <w:rPr>
          <w:lang w:val="fr-FR"/>
        </w:rPr>
        <w:t xml:space="preserve">était pas justifiée par </w:t>
      </w:r>
      <w:r w:rsidRPr="008A6218">
        <w:rPr>
          <w:lang w:val="fr-FR"/>
        </w:rPr>
        <w:t>la sauvegarde de l</w:t>
      </w:r>
      <w:r w:rsidR="009E3984">
        <w:rPr>
          <w:lang w:val="fr-FR"/>
        </w:rPr>
        <w:t>’</w:t>
      </w:r>
      <w:r w:rsidRPr="008A6218">
        <w:rPr>
          <w:lang w:val="fr-FR"/>
        </w:rPr>
        <w:t xml:space="preserve">ordre public ou </w:t>
      </w:r>
      <w:r>
        <w:rPr>
          <w:lang w:val="fr-FR"/>
        </w:rPr>
        <w:t>la préservation de</w:t>
      </w:r>
      <w:r w:rsidRPr="008A6218">
        <w:rPr>
          <w:lang w:val="fr-FR"/>
        </w:rPr>
        <w:t xml:space="preserve"> la sécurité des citoyens</w:t>
      </w:r>
      <w:r>
        <w:rPr>
          <w:lang w:val="fr-FR"/>
        </w:rPr>
        <w:t>. Par conséquent, il estime que l</w:t>
      </w:r>
      <w:r w:rsidR="009E3984">
        <w:rPr>
          <w:lang w:val="fr-FR"/>
        </w:rPr>
        <w:t>’</w:t>
      </w:r>
      <w:r>
        <w:rPr>
          <w:lang w:val="fr-FR"/>
        </w:rPr>
        <w:t>argument du Gouvernement selon lequel il n</w:t>
      </w:r>
      <w:r w:rsidR="009E3984">
        <w:rPr>
          <w:lang w:val="fr-FR"/>
        </w:rPr>
        <w:t>’</w:t>
      </w:r>
      <w:r>
        <w:rPr>
          <w:lang w:val="fr-FR"/>
        </w:rPr>
        <w:t xml:space="preserve">aurait pas </w:t>
      </w:r>
      <w:r w:rsidRPr="008A6218">
        <w:rPr>
          <w:lang w:val="fr-FR"/>
        </w:rPr>
        <w:t>utilisé tout le temps à sa disposition pour s</w:t>
      </w:r>
      <w:r w:rsidR="009E3984">
        <w:rPr>
          <w:lang w:val="fr-FR"/>
        </w:rPr>
        <w:t>’</w:t>
      </w:r>
      <w:r w:rsidRPr="008A6218">
        <w:rPr>
          <w:lang w:val="fr-FR"/>
        </w:rPr>
        <w:t>entretenir avec s</w:t>
      </w:r>
      <w:r>
        <w:rPr>
          <w:lang w:val="fr-FR"/>
        </w:rPr>
        <w:t>on avocat n</w:t>
      </w:r>
      <w:r w:rsidR="009E3984">
        <w:rPr>
          <w:lang w:val="fr-FR"/>
        </w:rPr>
        <w:t>’</w:t>
      </w:r>
      <w:r>
        <w:rPr>
          <w:lang w:val="fr-FR"/>
        </w:rPr>
        <w:t>est pas pertinent.</w:t>
      </w:r>
    </w:p>
    <w:p w:rsidR="00067527" w:rsidRDefault="00067527" w:rsidP="008A7892">
      <w:pPr>
        <w:pStyle w:val="ECHRHeading2"/>
        <w:rPr>
          <w:lang w:val="fr-FR"/>
        </w:rPr>
      </w:pPr>
      <w:r w:rsidRPr="00060A95">
        <w:rPr>
          <w:lang w:val="fr-FR"/>
        </w:rPr>
        <w:t>B.</w:t>
      </w:r>
      <w:r>
        <w:rPr>
          <w:lang w:val="fr-FR"/>
        </w:rPr>
        <w:t>  Appréciation de la Cour</w:t>
      </w:r>
    </w:p>
    <w:p w:rsidR="00067527" w:rsidRPr="00E644B7" w:rsidRDefault="00067527" w:rsidP="008A7892">
      <w:pPr>
        <w:pStyle w:val="ECHRPara"/>
        <w:rPr>
          <w:lang w:val="fr-FR"/>
        </w:rPr>
      </w:pPr>
      <w:r>
        <w:rPr>
          <w:lang w:val="fr-FR"/>
        </w:rPr>
        <w:t>34</w:t>
      </w:r>
      <w:r w:rsidRPr="00491305">
        <w:rPr>
          <w:lang w:val="fr-FR"/>
        </w:rPr>
        <w:t>.  </w:t>
      </w:r>
      <w:r w:rsidRPr="00E644B7">
        <w:rPr>
          <w:lang w:val="fr-FR"/>
        </w:rPr>
        <w:t>La Cour rappelle que les États n</w:t>
      </w:r>
      <w:r w:rsidR="009E3984">
        <w:rPr>
          <w:lang w:val="fr-FR"/>
        </w:rPr>
        <w:t>’</w:t>
      </w:r>
      <w:r w:rsidRPr="00E644B7">
        <w:rPr>
          <w:lang w:val="fr-FR"/>
        </w:rPr>
        <w:t>ont pas à répondre de leurs actes devant un organisme international avant d</w:t>
      </w:r>
      <w:r w:rsidR="009E3984">
        <w:rPr>
          <w:lang w:val="fr-FR"/>
        </w:rPr>
        <w:t>’</w:t>
      </w:r>
      <w:r w:rsidRPr="00E644B7">
        <w:rPr>
          <w:lang w:val="fr-FR"/>
        </w:rPr>
        <w:t>avoir eu la possibilité de redresser la situation dans leur ordre juridique interne. Les personnes désireuses de se prévaloir de la compétence de contrôle de la Cour relativement à des griefs dirigés contre un État ont donc l</w:t>
      </w:r>
      <w:r w:rsidR="009E3984">
        <w:rPr>
          <w:lang w:val="fr-FR"/>
        </w:rPr>
        <w:t>’</w:t>
      </w:r>
      <w:r w:rsidRPr="00E644B7">
        <w:rPr>
          <w:lang w:val="fr-FR"/>
        </w:rPr>
        <w:t>obligation d</w:t>
      </w:r>
      <w:r w:rsidR="009E3984">
        <w:rPr>
          <w:lang w:val="fr-FR"/>
        </w:rPr>
        <w:t>’</w:t>
      </w:r>
      <w:r w:rsidRPr="00E644B7">
        <w:rPr>
          <w:lang w:val="fr-FR"/>
        </w:rPr>
        <w:t>utiliser auparavant les recours qu</w:t>
      </w:r>
      <w:r w:rsidR="009E3984">
        <w:rPr>
          <w:lang w:val="fr-FR"/>
        </w:rPr>
        <w:t>’</w:t>
      </w:r>
      <w:r w:rsidRPr="00E644B7">
        <w:rPr>
          <w:lang w:val="fr-FR"/>
        </w:rPr>
        <w:t>offre le système juridique de celui-ci (voir, parmi beaucoup d</w:t>
      </w:r>
      <w:r w:rsidR="009E3984">
        <w:rPr>
          <w:lang w:val="fr-FR"/>
        </w:rPr>
        <w:t>’</w:t>
      </w:r>
      <w:r w:rsidRPr="00E644B7">
        <w:rPr>
          <w:lang w:val="fr-FR"/>
        </w:rPr>
        <w:t xml:space="preserve">autres, </w:t>
      </w:r>
      <w:r w:rsidRPr="00E644B7">
        <w:rPr>
          <w:i/>
          <w:lang w:val="fr-FR"/>
        </w:rPr>
        <w:t>Akdivar et autres c.</w:t>
      </w:r>
      <w:r w:rsidR="00187BCB">
        <w:rPr>
          <w:i/>
          <w:lang w:val="fr-FR"/>
        </w:rPr>
        <w:t> </w:t>
      </w:r>
      <w:r w:rsidRPr="009F3603">
        <w:rPr>
          <w:i/>
          <w:lang w:val="fr-FR"/>
        </w:rPr>
        <w:t>Turquie</w:t>
      </w:r>
      <w:r w:rsidRPr="00E644B7">
        <w:rPr>
          <w:lang w:val="fr-FR"/>
        </w:rPr>
        <w:t>, 16</w:t>
      </w:r>
      <w:r>
        <w:rPr>
          <w:lang w:val="fr-FR"/>
        </w:rPr>
        <w:t> </w:t>
      </w:r>
      <w:r w:rsidRPr="00E644B7">
        <w:rPr>
          <w:lang w:val="fr-FR"/>
        </w:rPr>
        <w:t>septembre</w:t>
      </w:r>
      <w:r>
        <w:rPr>
          <w:lang w:val="fr-FR"/>
        </w:rPr>
        <w:t> </w:t>
      </w:r>
      <w:r w:rsidRPr="00E644B7">
        <w:rPr>
          <w:lang w:val="fr-FR"/>
        </w:rPr>
        <w:t xml:space="preserve">1996, § 65, </w:t>
      </w:r>
      <w:r w:rsidRPr="009F3603">
        <w:rPr>
          <w:i/>
          <w:lang w:val="fr-FR"/>
        </w:rPr>
        <w:t>Recueil des arrêts et décisions</w:t>
      </w:r>
      <w:r>
        <w:rPr>
          <w:lang w:val="fr-FR"/>
        </w:rPr>
        <w:t xml:space="preserve"> </w:t>
      </w:r>
      <w:r w:rsidRPr="00E644B7">
        <w:rPr>
          <w:lang w:val="fr-FR"/>
        </w:rPr>
        <w:t>1996</w:t>
      </w:r>
      <w:r w:rsidRPr="00E644B7">
        <w:rPr>
          <w:lang w:val="fr-FR"/>
        </w:rPr>
        <w:noBreakHyphen/>
        <w:t>IV,</w:t>
      </w:r>
      <w:r>
        <w:rPr>
          <w:lang w:val="fr-FR"/>
        </w:rPr>
        <w:t xml:space="preserve"> </w:t>
      </w:r>
      <w:r w:rsidRPr="00E644B7">
        <w:rPr>
          <w:i/>
          <w:lang w:val="fr-FR"/>
        </w:rPr>
        <w:t>Vučković et autres c. Serbie</w:t>
      </w:r>
      <w:r w:rsidRPr="00E644B7">
        <w:rPr>
          <w:lang w:val="fr-FR"/>
        </w:rPr>
        <w:t xml:space="preserve"> [GC], </w:t>
      </w:r>
      <w:r>
        <w:rPr>
          <w:rFonts w:eastAsia="Times New Roman"/>
          <w:lang w:val="fr-FR"/>
        </w:rPr>
        <w:t>n</w:t>
      </w:r>
      <w:r>
        <w:rPr>
          <w:rFonts w:eastAsia="Times New Roman"/>
          <w:vertAlign w:val="superscript"/>
          <w:lang w:val="fr-FR"/>
        </w:rPr>
        <w:t>os</w:t>
      </w:r>
      <w:r>
        <w:rPr>
          <w:rFonts w:eastAsia="Times New Roman"/>
          <w:lang w:val="fr-FR"/>
        </w:rPr>
        <w:t xml:space="preserve"> 17153/11 et 29 autres</w:t>
      </w:r>
      <w:r>
        <w:rPr>
          <w:rFonts w:eastAsia="Times New Roman"/>
          <w:snapToGrid w:val="0"/>
          <w:color w:val="000000"/>
          <w:lang w:val="fr-FR"/>
        </w:rPr>
        <w:t xml:space="preserve">, § 70, </w:t>
      </w:r>
      <w:r>
        <w:rPr>
          <w:rFonts w:eastAsia="Times New Roman"/>
          <w:color w:val="000000"/>
          <w:lang w:val="fr-FR"/>
        </w:rPr>
        <w:t>25</w:t>
      </w:r>
      <w:r w:rsidR="00187BCB">
        <w:rPr>
          <w:rFonts w:eastAsia="Times New Roman"/>
          <w:snapToGrid w:val="0"/>
          <w:color w:val="000000"/>
          <w:lang w:val="fr-FR"/>
        </w:rPr>
        <w:t> </w:t>
      </w:r>
      <w:r>
        <w:rPr>
          <w:rFonts w:eastAsia="Times New Roman"/>
          <w:color w:val="000000"/>
          <w:lang w:val="fr-FR"/>
        </w:rPr>
        <w:t>mars</w:t>
      </w:r>
      <w:r w:rsidR="00187BCB">
        <w:rPr>
          <w:rFonts w:eastAsia="Times New Roman"/>
          <w:color w:val="000000"/>
          <w:lang w:val="fr-FR"/>
        </w:rPr>
        <w:t> </w:t>
      </w:r>
      <w:r>
        <w:rPr>
          <w:rFonts w:eastAsia="Times New Roman"/>
          <w:snapToGrid w:val="0"/>
          <w:color w:val="000000"/>
          <w:lang w:val="fr-FR"/>
        </w:rPr>
        <w:t xml:space="preserve">2014, </w:t>
      </w:r>
      <w:r>
        <w:rPr>
          <w:lang w:val="fr-FR"/>
        </w:rPr>
        <w:t>CEDH 2014</w:t>
      </w:r>
      <w:r w:rsidRPr="00E644B7">
        <w:rPr>
          <w:lang w:val="fr-FR"/>
        </w:rPr>
        <w:t xml:space="preserve">, et </w:t>
      </w:r>
      <w:r w:rsidRPr="00E644B7">
        <w:rPr>
          <w:i/>
          <w:lang w:val="fr-FR"/>
        </w:rPr>
        <w:t>Mocanu et autres c. Roumanie</w:t>
      </w:r>
      <w:r w:rsidRPr="00E644B7">
        <w:rPr>
          <w:lang w:val="fr-FR"/>
        </w:rPr>
        <w:t xml:space="preserve"> [GC], </w:t>
      </w:r>
      <w:r w:rsidRPr="009F3603">
        <w:rPr>
          <w:lang w:val="fr-FR"/>
        </w:rPr>
        <w:t>n</w:t>
      </w:r>
      <w:r w:rsidRPr="009F3603">
        <w:rPr>
          <w:vertAlign w:val="superscript"/>
          <w:lang w:val="fr-FR"/>
        </w:rPr>
        <w:t>os</w:t>
      </w:r>
      <w:r w:rsidR="00187BCB">
        <w:rPr>
          <w:vertAlign w:val="superscript"/>
          <w:lang w:val="fr-FR"/>
        </w:rPr>
        <w:t> </w:t>
      </w:r>
      <w:hyperlink r:id="rId11" w:anchor="{&quot;appno&quot;:[&quot;10865/09&quot;]}" w:tgtFrame="_blank" w:history="1">
        <w:r w:rsidRPr="00E644B7">
          <w:rPr>
            <w:lang w:val="fr-FR"/>
          </w:rPr>
          <w:t>10865/09</w:t>
        </w:r>
      </w:hyperlink>
      <w:r w:rsidRPr="00E644B7">
        <w:rPr>
          <w:lang w:val="fr-FR"/>
        </w:rPr>
        <w:t xml:space="preserve">, </w:t>
      </w:r>
      <w:hyperlink r:id="rId12" w:anchor="{&quot;appno&quot;:[&quot;45886/07&quot;]}" w:tgtFrame="_blank" w:history="1">
        <w:r w:rsidRPr="00E644B7">
          <w:rPr>
            <w:lang w:val="fr-FR"/>
          </w:rPr>
          <w:t>45886/07</w:t>
        </w:r>
      </w:hyperlink>
      <w:r w:rsidRPr="00E644B7">
        <w:rPr>
          <w:lang w:val="fr-FR"/>
        </w:rPr>
        <w:t xml:space="preserve"> et </w:t>
      </w:r>
      <w:hyperlink r:id="rId13" w:anchor="{&quot;appno&quot;:[&quot;32431/08&quot;]}" w:tgtFrame="_blank" w:history="1">
        <w:r w:rsidRPr="00E644B7">
          <w:rPr>
            <w:lang w:val="fr-FR"/>
          </w:rPr>
          <w:t>32431/08</w:t>
        </w:r>
      </w:hyperlink>
      <w:r w:rsidRPr="00E644B7">
        <w:rPr>
          <w:lang w:val="fr-FR"/>
        </w:rPr>
        <w:t>, § 221, CEDH 2014 (extraits)).</w:t>
      </w:r>
    </w:p>
    <w:p w:rsidR="00067527" w:rsidRPr="00E644B7" w:rsidRDefault="00067527" w:rsidP="00601DC8">
      <w:pPr>
        <w:pStyle w:val="ECHRPara"/>
        <w:keepNext/>
        <w:keepLines/>
        <w:rPr>
          <w:lang w:val="fr-FR"/>
        </w:rPr>
      </w:pPr>
      <w:r>
        <w:rPr>
          <w:lang w:val="fr-FR"/>
        </w:rPr>
        <w:lastRenderedPageBreak/>
        <w:t>35</w:t>
      </w:r>
      <w:r w:rsidRPr="00E644B7">
        <w:rPr>
          <w:lang w:val="fr-FR"/>
        </w:rPr>
        <w:t>.  Cela étant, la Cour a fréquemment souligné qu</w:t>
      </w:r>
      <w:r w:rsidR="009E3984">
        <w:rPr>
          <w:lang w:val="fr-FR"/>
        </w:rPr>
        <w:t>’</w:t>
      </w:r>
      <w:r w:rsidRPr="00E644B7">
        <w:rPr>
          <w:lang w:val="fr-FR"/>
        </w:rPr>
        <w:t>il faut appliquer la règle de l</w:t>
      </w:r>
      <w:r w:rsidR="009E3984">
        <w:rPr>
          <w:lang w:val="fr-FR"/>
        </w:rPr>
        <w:t>’</w:t>
      </w:r>
      <w:r w:rsidRPr="00E644B7">
        <w:rPr>
          <w:lang w:val="fr-FR"/>
        </w:rPr>
        <w:t>épuisement des recours internes avec une certaine souplesse et sans formalisme excessif (</w:t>
      </w:r>
      <w:r w:rsidRPr="00E644B7">
        <w:rPr>
          <w:i/>
          <w:lang w:val="fr-FR"/>
        </w:rPr>
        <w:t>Ringeisen c. Autriche,</w:t>
      </w:r>
      <w:r w:rsidRPr="00E644B7">
        <w:rPr>
          <w:lang w:val="fr-FR"/>
        </w:rPr>
        <w:t xml:space="preserve"> 16 juillet 1971, §</w:t>
      </w:r>
      <w:r w:rsidR="00187BCB">
        <w:rPr>
          <w:lang w:val="fr-FR"/>
        </w:rPr>
        <w:t> </w:t>
      </w:r>
      <w:r w:rsidRPr="00E644B7">
        <w:rPr>
          <w:lang w:val="fr-FR"/>
        </w:rPr>
        <w:t>89, série</w:t>
      </w:r>
      <w:r w:rsidR="00187BCB">
        <w:rPr>
          <w:lang w:val="fr-FR"/>
        </w:rPr>
        <w:t> </w:t>
      </w:r>
      <w:r w:rsidRPr="00E644B7">
        <w:rPr>
          <w:lang w:val="fr-FR"/>
        </w:rPr>
        <w:t>A n</w:t>
      </w:r>
      <w:r w:rsidR="00AD6316" w:rsidRPr="00AD6316">
        <w:rPr>
          <w:vertAlign w:val="superscript"/>
          <w:lang w:val="fr-FR"/>
        </w:rPr>
        <w:t>o</w:t>
      </w:r>
      <w:r w:rsidRPr="00E644B7">
        <w:rPr>
          <w:lang w:val="fr-FR"/>
        </w:rPr>
        <w:t xml:space="preserve"> 13, </w:t>
      </w:r>
      <w:r w:rsidRPr="00E644B7">
        <w:rPr>
          <w:i/>
          <w:lang w:val="fr-FR"/>
        </w:rPr>
        <w:t>Akdivar et autres</w:t>
      </w:r>
      <w:r w:rsidRPr="00E644B7">
        <w:rPr>
          <w:lang w:val="fr-FR"/>
        </w:rPr>
        <w:t>, précité, § 69,</w:t>
      </w:r>
      <w:r>
        <w:rPr>
          <w:lang w:val="fr-FR"/>
        </w:rPr>
        <w:t xml:space="preserve"> et</w:t>
      </w:r>
      <w:r w:rsidRPr="00E644B7">
        <w:rPr>
          <w:lang w:val="fr-FR"/>
        </w:rPr>
        <w:t xml:space="preserve"> </w:t>
      </w:r>
      <w:r w:rsidRPr="00E644B7">
        <w:rPr>
          <w:i/>
          <w:lang w:val="fr-FR"/>
        </w:rPr>
        <w:t>Vučković et autres</w:t>
      </w:r>
      <w:r w:rsidRPr="00E644B7">
        <w:rPr>
          <w:lang w:val="fr-FR"/>
        </w:rPr>
        <w:t>, précité, §</w:t>
      </w:r>
      <w:r>
        <w:rPr>
          <w:lang w:val="fr-FR"/>
        </w:rPr>
        <w:t> </w:t>
      </w:r>
      <w:r w:rsidRPr="00E644B7">
        <w:rPr>
          <w:lang w:val="fr-FR"/>
        </w:rPr>
        <w:t>76</w:t>
      </w:r>
      <w:r>
        <w:rPr>
          <w:lang w:val="fr-FR"/>
        </w:rPr>
        <w:t>).</w:t>
      </w:r>
      <w:r w:rsidRPr="00E644B7">
        <w:rPr>
          <w:lang w:val="fr-FR"/>
        </w:rPr>
        <w:t xml:space="preserve"> L</w:t>
      </w:r>
      <w:r w:rsidR="009E3984">
        <w:rPr>
          <w:lang w:val="fr-FR"/>
        </w:rPr>
        <w:t>’</w:t>
      </w:r>
      <w:r w:rsidRPr="00E644B7">
        <w:rPr>
          <w:lang w:val="fr-FR"/>
        </w:rPr>
        <w:t xml:space="preserve">article 35 § 1 </w:t>
      </w:r>
      <w:r>
        <w:rPr>
          <w:lang w:val="fr-FR"/>
        </w:rPr>
        <w:t xml:space="preserve">de la Convention </w:t>
      </w:r>
      <w:r w:rsidRPr="00E644B7">
        <w:rPr>
          <w:lang w:val="fr-FR"/>
        </w:rPr>
        <w:t>impose de soulever devant l</w:t>
      </w:r>
      <w:r w:rsidR="009E3984">
        <w:rPr>
          <w:lang w:val="fr-FR"/>
        </w:rPr>
        <w:t>’</w:t>
      </w:r>
      <w:r w:rsidRPr="00E644B7">
        <w:rPr>
          <w:lang w:val="fr-FR"/>
        </w:rPr>
        <w:t xml:space="preserve">organe interne adéquat, au moins en substance (voir, par exemple, </w:t>
      </w:r>
      <w:r w:rsidRPr="00E644B7">
        <w:rPr>
          <w:i/>
          <w:lang w:val="fr-FR"/>
        </w:rPr>
        <w:t>Castells c.</w:t>
      </w:r>
      <w:r w:rsidR="00187BCB">
        <w:rPr>
          <w:i/>
          <w:lang w:val="fr-FR"/>
        </w:rPr>
        <w:t> </w:t>
      </w:r>
      <w:r w:rsidRPr="00E644B7">
        <w:rPr>
          <w:i/>
          <w:lang w:val="fr-FR"/>
        </w:rPr>
        <w:t>Espagne</w:t>
      </w:r>
      <w:r w:rsidRPr="00E644B7">
        <w:rPr>
          <w:lang w:val="fr-FR"/>
        </w:rPr>
        <w:t>, 23 avril 1992, §</w:t>
      </w:r>
      <w:r>
        <w:rPr>
          <w:lang w:val="fr-FR"/>
        </w:rPr>
        <w:t> </w:t>
      </w:r>
      <w:r w:rsidRPr="00E644B7">
        <w:rPr>
          <w:lang w:val="fr-FR"/>
        </w:rPr>
        <w:t>32, série A n</w:t>
      </w:r>
      <w:r w:rsidR="00AD6316" w:rsidRPr="00AD6316">
        <w:rPr>
          <w:vertAlign w:val="superscript"/>
          <w:lang w:val="fr-FR"/>
        </w:rPr>
        <w:t>o</w:t>
      </w:r>
      <w:r w:rsidRPr="00E644B7">
        <w:rPr>
          <w:lang w:val="fr-FR"/>
        </w:rPr>
        <w:t xml:space="preserve"> 236, </w:t>
      </w:r>
      <w:r w:rsidRPr="00E644B7">
        <w:rPr>
          <w:i/>
          <w:lang w:val="fr-FR"/>
        </w:rPr>
        <w:t>Fressoz et Roire</w:t>
      </w:r>
      <w:r w:rsidR="00187BCB">
        <w:rPr>
          <w:i/>
          <w:lang w:val="fr-FR"/>
        </w:rPr>
        <w:t xml:space="preserve"> c. </w:t>
      </w:r>
      <w:r w:rsidRPr="00E644B7">
        <w:rPr>
          <w:i/>
          <w:lang w:val="fr-FR"/>
        </w:rPr>
        <w:t>France</w:t>
      </w:r>
      <w:r w:rsidRPr="00E644B7">
        <w:rPr>
          <w:lang w:val="fr-FR"/>
        </w:rPr>
        <w:t xml:space="preserve"> [GC], n</w:t>
      </w:r>
      <w:r w:rsidR="00AD6316" w:rsidRPr="00AD6316">
        <w:rPr>
          <w:vertAlign w:val="superscript"/>
          <w:lang w:val="fr-FR"/>
        </w:rPr>
        <w:t>o</w:t>
      </w:r>
      <w:r w:rsidRPr="00E644B7">
        <w:rPr>
          <w:lang w:val="fr-FR"/>
        </w:rPr>
        <w:t xml:space="preserve"> </w:t>
      </w:r>
      <w:hyperlink r:id="rId14" w:anchor="{&quot;appno&quot;:[&quot;29183/95&quot;]}" w:tgtFrame="_blank" w:history="1">
        <w:r w:rsidRPr="00E644B7">
          <w:rPr>
            <w:lang w:val="fr-FR"/>
          </w:rPr>
          <w:t>29183/95</w:t>
        </w:r>
      </w:hyperlink>
      <w:r w:rsidRPr="00E644B7">
        <w:rPr>
          <w:lang w:val="fr-FR"/>
        </w:rPr>
        <w:t>, § 37, CEDH 1999</w:t>
      </w:r>
      <w:r w:rsidRPr="00E644B7">
        <w:rPr>
          <w:lang w:val="fr-FR"/>
        </w:rPr>
        <w:noBreakHyphen/>
        <w:t xml:space="preserve">I, et </w:t>
      </w:r>
      <w:r w:rsidRPr="00E644B7">
        <w:rPr>
          <w:i/>
          <w:lang w:val="fr-FR"/>
        </w:rPr>
        <w:t>Gäfgen c. Allemagne</w:t>
      </w:r>
      <w:r w:rsidRPr="00E644B7">
        <w:rPr>
          <w:lang w:val="fr-FR"/>
        </w:rPr>
        <w:t xml:space="preserve"> [GC], n</w:t>
      </w:r>
      <w:r w:rsidR="00AD6316" w:rsidRPr="00AD6316">
        <w:rPr>
          <w:vertAlign w:val="superscript"/>
          <w:lang w:val="fr-FR"/>
        </w:rPr>
        <w:t>o</w:t>
      </w:r>
      <w:r>
        <w:rPr>
          <w:lang w:val="fr-FR"/>
        </w:rPr>
        <w:t> </w:t>
      </w:r>
      <w:hyperlink r:id="rId15" w:anchor="{&quot;appno&quot;:[&quot;22978/05&quot;]}" w:tgtFrame="_blank" w:history="1">
        <w:r w:rsidRPr="00E644B7">
          <w:rPr>
            <w:lang w:val="fr-FR"/>
          </w:rPr>
          <w:t>22978/05</w:t>
        </w:r>
      </w:hyperlink>
      <w:r w:rsidRPr="00E644B7">
        <w:rPr>
          <w:lang w:val="fr-FR"/>
        </w:rPr>
        <w:t>, §§ 144 et 146, CEDH 2010) et dans les formes et délais prescrits par le droit interne (voir, parmi beaucoup d</w:t>
      </w:r>
      <w:r w:rsidR="009E3984">
        <w:rPr>
          <w:lang w:val="fr-FR"/>
        </w:rPr>
        <w:t>’</w:t>
      </w:r>
      <w:r w:rsidRPr="00E644B7">
        <w:rPr>
          <w:lang w:val="fr-FR"/>
        </w:rPr>
        <w:t xml:space="preserve">autres, </w:t>
      </w:r>
      <w:r w:rsidRPr="00E644B7">
        <w:rPr>
          <w:i/>
          <w:lang w:val="fr-FR"/>
        </w:rPr>
        <w:t>Ben Salah, Adraqui et Dhaime c. Espagne</w:t>
      </w:r>
      <w:r w:rsidRPr="00E644B7">
        <w:rPr>
          <w:lang w:val="fr-FR"/>
        </w:rPr>
        <w:t xml:space="preserve"> (déc.), n</w:t>
      </w:r>
      <w:r w:rsidR="00AD6316" w:rsidRPr="00AD6316">
        <w:rPr>
          <w:vertAlign w:val="superscript"/>
          <w:lang w:val="fr-FR"/>
        </w:rPr>
        <w:t>o</w:t>
      </w:r>
      <w:r w:rsidRPr="00E644B7">
        <w:rPr>
          <w:lang w:val="fr-FR"/>
        </w:rPr>
        <w:t xml:space="preserve"> </w:t>
      </w:r>
      <w:hyperlink r:id="rId16" w:anchor="{&quot;appno&quot;:[&quot;45023/98&quot;]}" w:tgtFrame="_blank" w:history="1">
        <w:r w:rsidRPr="00E644B7">
          <w:rPr>
            <w:lang w:val="fr-FR"/>
          </w:rPr>
          <w:t>45023/98</w:t>
        </w:r>
      </w:hyperlink>
      <w:r w:rsidRPr="00E644B7">
        <w:rPr>
          <w:lang w:val="fr-FR"/>
        </w:rPr>
        <w:t xml:space="preserve">, 27 avril 2000, CEDH 2000-IV, </w:t>
      </w:r>
      <w:r w:rsidRPr="009F3603">
        <w:rPr>
          <w:i/>
          <w:lang w:val="fr-FR"/>
        </w:rPr>
        <w:t>Mark c. Allemagne</w:t>
      </w:r>
      <w:r w:rsidRPr="00E644B7">
        <w:rPr>
          <w:lang w:val="fr-FR"/>
        </w:rPr>
        <w:t xml:space="preserve"> (déc.), n</w:t>
      </w:r>
      <w:r w:rsidR="00AD6316" w:rsidRPr="00AD6316">
        <w:rPr>
          <w:vertAlign w:val="superscript"/>
          <w:lang w:val="fr-FR"/>
        </w:rPr>
        <w:t>o</w:t>
      </w:r>
      <w:r w:rsidR="00481D05">
        <w:rPr>
          <w:vertAlign w:val="superscript"/>
          <w:lang w:val="fr-FR"/>
        </w:rPr>
        <w:t xml:space="preserve"> </w:t>
      </w:r>
      <w:hyperlink r:id="rId17" w:anchor="{&quot;appno&quot;:[&quot;45989/99&quot;]}" w:tgtFrame="_blank" w:history="1">
        <w:r w:rsidRPr="00E644B7">
          <w:rPr>
            <w:lang w:val="fr-FR"/>
          </w:rPr>
          <w:t>45989/99</w:t>
        </w:r>
      </w:hyperlink>
      <w:r w:rsidRPr="00E644B7">
        <w:rPr>
          <w:lang w:val="fr-FR"/>
        </w:rPr>
        <w:t xml:space="preserve">, 31 mai 2001, </w:t>
      </w:r>
      <w:r w:rsidRPr="00E644B7">
        <w:rPr>
          <w:i/>
          <w:lang w:val="fr-FR"/>
        </w:rPr>
        <w:t>Agbovi c.</w:t>
      </w:r>
      <w:r w:rsidR="00187BCB">
        <w:rPr>
          <w:i/>
          <w:lang w:val="fr-FR"/>
        </w:rPr>
        <w:t> </w:t>
      </w:r>
      <w:r w:rsidRPr="00E644B7">
        <w:rPr>
          <w:i/>
          <w:lang w:val="fr-FR"/>
        </w:rPr>
        <w:t>Allemagne</w:t>
      </w:r>
      <w:r w:rsidRPr="00E644B7">
        <w:rPr>
          <w:lang w:val="fr-FR"/>
        </w:rPr>
        <w:t xml:space="preserve"> (déc.), n</w:t>
      </w:r>
      <w:r w:rsidR="00AD6316" w:rsidRPr="00AD6316">
        <w:rPr>
          <w:vertAlign w:val="superscript"/>
          <w:lang w:val="fr-FR"/>
        </w:rPr>
        <w:t>o</w:t>
      </w:r>
      <w:r w:rsidRPr="00E644B7">
        <w:rPr>
          <w:lang w:val="fr-FR"/>
        </w:rPr>
        <w:t xml:space="preserve"> </w:t>
      </w:r>
      <w:hyperlink r:id="rId18" w:anchor="{&quot;appno&quot;:[&quot;71759/01&quot;]}" w:tgtFrame="_blank" w:history="1">
        <w:r w:rsidRPr="00E644B7">
          <w:rPr>
            <w:lang w:val="fr-FR"/>
          </w:rPr>
          <w:t>71759/01</w:t>
        </w:r>
      </w:hyperlink>
      <w:r w:rsidRPr="00E644B7">
        <w:rPr>
          <w:lang w:val="fr-FR"/>
        </w:rPr>
        <w:t>, 25</w:t>
      </w:r>
      <w:r w:rsidR="00481D05">
        <w:rPr>
          <w:lang w:val="fr-FR"/>
        </w:rPr>
        <w:t xml:space="preserve"> </w:t>
      </w:r>
      <w:r w:rsidRPr="00E644B7">
        <w:rPr>
          <w:lang w:val="fr-FR"/>
        </w:rPr>
        <w:t xml:space="preserve">septembre 2006, et </w:t>
      </w:r>
      <w:r w:rsidRPr="00E644B7">
        <w:rPr>
          <w:i/>
          <w:lang w:val="fr-FR"/>
        </w:rPr>
        <w:t>De Smedt c.</w:t>
      </w:r>
      <w:r w:rsidR="00187BCB">
        <w:rPr>
          <w:i/>
          <w:lang w:val="fr-FR"/>
        </w:rPr>
        <w:t> </w:t>
      </w:r>
      <w:r w:rsidRPr="00E644B7">
        <w:rPr>
          <w:i/>
          <w:lang w:val="fr-FR"/>
        </w:rPr>
        <w:t>Belgique</w:t>
      </w:r>
      <w:r w:rsidRPr="00E644B7">
        <w:rPr>
          <w:lang w:val="fr-FR"/>
        </w:rPr>
        <w:t xml:space="preserve"> (déc.), n</w:t>
      </w:r>
      <w:r w:rsidR="00AD6316" w:rsidRPr="00AD6316">
        <w:rPr>
          <w:vertAlign w:val="superscript"/>
          <w:lang w:val="fr-FR"/>
        </w:rPr>
        <w:t>o</w:t>
      </w:r>
      <w:r w:rsidRPr="00E644B7">
        <w:rPr>
          <w:lang w:val="fr-FR"/>
        </w:rPr>
        <w:t xml:space="preserve"> </w:t>
      </w:r>
      <w:hyperlink r:id="rId19" w:anchor="{&quot;appno&quot;:[&quot;76578/11&quot;]}" w:tgtFrame="_blank" w:history="1">
        <w:r w:rsidRPr="00E644B7">
          <w:rPr>
            <w:lang w:val="fr-FR"/>
          </w:rPr>
          <w:t>76578/11</w:t>
        </w:r>
      </w:hyperlink>
      <w:r w:rsidRPr="00E644B7">
        <w:rPr>
          <w:lang w:val="fr-FR"/>
        </w:rPr>
        <w:t>, § 15, 12</w:t>
      </w:r>
      <w:r w:rsidR="00481D05">
        <w:rPr>
          <w:lang w:val="fr-FR"/>
        </w:rPr>
        <w:t xml:space="preserve"> </w:t>
      </w:r>
      <w:r w:rsidRPr="00E644B7">
        <w:rPr>
          <w:lang w:val="fr-FR"/>
        </w:rPr>
        <w:t>novembre 2013), les griefs que l</w:t>
      </w:r>
      <w:r w:rsidR="009E3984">
        <w:rPr>
          <w:lang w:val="fr-FR"/>
        </w:rPr>
        <w:t>’</w:t>
      </w:r>
      <w:r w:rsidRPr="00E644B7">
        <w:rPr>
          <w:lang w:val="fr-FR"/>
        </w:rPr>
        <w:t xml:space="preserve">on entend formuler par la suite devant la Cour. Une requête ne satisfaisant pas à ces exigences doit en principe être déclarée irrecevable pour non-épuisement des voies de recours internes (voir, par exemple, </w:t>
      </w:r>
      <w:r w:rsidRPr="00E644B7">
        <w:rPr>
          <w:i/>
          <w:lang w:val="fr-FR"/>
        </w:rPr>
        <w:t>Cardot c.</w:t>
      </w:r>
      <w:r w:rsidR="00187BCB">
        <w:rPr>
          <w:i/>
          <w:lang w:val="fr-FR"/>
        </w:rPr>
        <w:t> </w:t>
      </w:r>
      <w:r w:rsidRPr="00E644B7">
        <w:rPr>
          <w:i/>
          <w:lang w:val="fr-FR"/>
        </w:rPr>
        <w:t>France</w:t>
      </w:r>
      <w:r w:rsidRPr="00E644B7">
        <w:rPr>
          <w:lang w:val="fr-FR"/>
        </w:rPr>
        <w:t>, 19 mars 1991, § 34, série A n</w:t>
      </w:r>
      <w:r w:rsidR="00AD6316" w:rsidRPr="00AD6316">
        <w:rPr>
          <w:vertAlign w:val="superscript"/>
          <w:lang w:val="fr-FR"/>
        </w:rPr>
        <w:t>o</w:t>
      </w:r>
      <w:r w:rsidRPr="00E644B7">
        <w:rPr>
          <w:lang w:val="fr-FR"/>
        </w:rPr>
        <w:t xml:space="preserve"> 200, et </w:t>
      </w:r>
      <w:r w:rsidRPr="00E644B7">
        <w:rPr>
          <w:i/>
          <w:lang w:val="fr-FR"/>
        </w:rPr>
        <w:t>Thiermann et autres c.</w:t>
      </w:r>
      <w:r w:rsidR="00187BCB">
        <w:rPr>
          <w:i/>
          <w:lang w:val="fr-FR"/>
        </w:rPr>
        <w:t> </w:t>
      </w:r>
      <w:r w:rsidRPr="00E644B7">
        <w:rPr>
          <w:i/>
          <w:lang w:val="fr-FR"/>
        </w:rPr>
        <w:t>Norvège</w:t>
      </w:r>
      <w:r w:rsidRPr="00E644B7">
        <w:rPr>
          <w:lang w:val="fr-FR"/>
        </w:rPr>
        <w:t xml:space="preserve"> (déc.), n</w:t>
      </w:r>
      <w:r w:rsidR="00AD6316" w:rsidRPr="00AD6316">
        <w:rPr>
          <w:vertAlign w:val="superscript"/>
          <w:lang w:val="fr-FR"/>
        </w:rPr>
        <w:t>o</w:t>
      </w:r>
      <w:r w:rsidR="00481D05">
        <w:rPr>
          <w:vertAlign w:val="superscript"/>
          <w:lang w:val="fr-FR"/>
        </w:rPr>
        <w:t xml:space="preserve"> </w:t>
      </w:r>
      <w:hyperlink r:id="rId20" w:anchor="{&quot;appno&quot;:[&quot;18712/03&quot;]}" w:tgtFrame="_blank" w:history="1">
        <w:r w:rsidRPr="00E644B7">
          <w:rPr>
            <w:lang w:val="fr-FR"/>
          </w:rPr>
          <w:t>18712/03</w:t>
        </w:r>
      </w:hyperlink>
      <w:r w:rsidRPr="00E644B7">
        <w:rPr>
          <w:lang w:val="fr-FR"/>
        </w:rPr>
        <w:t>, 8 mars 2007).</w:t>
      </w:r>
    </w:p>
    <w:p w:rsidR="00067527" w:rsidRPr="00832CFD" w:rsidRDefault="00067527" w:rsidP="008A7892">
      <w:pPr>
        <w:pStyle w:val="ECHRPara"/>
        <w:rPr>
          <w:lang w:val="fr-FR"/>
        </w:rPr>
      </w:pPr>
      <w:r>
        <w:rPr>
          <w:lang w:val="fr-FR"/>
        </w:rPr>
        <w:t>36.  </w:t>
      </w:r>
      <w:r w:rsidRPr="00135806">
        <w:rPr>
          <w:lang w:val="fr-FR"/>
        </w:rPr>
        <w:t>En l</w:t>
      </w:r>
      <w:r w:rsidR="009E3984">
        <w:rPr>
          <w:lang w:val="fr-FR"/>
        </w:rPr>
        <w:t>’</w:t>
      </w:r>
      <w:r w:rsidRPr="00135806">
        <w:rPr>
          <w:lang w:val="fr-FR"/>
        </w:rPr>
        <w:t xml:space="preserve">espèce, il ne ressort pas des pièces du dossier que le requérant ait </w:t>
      </w:r>
      <w:r>
        <w:rPr>
          <w:lang w:val="fr-FR"/>
        </w:rPr>
        <w:t>soulevé</w:t>
      </w:r>
      <w:r w:rsidRPr="00135806">
        <w:rPr>
          <w:lang w:val="fr-FR"/>
        </w:rPr>
        <w:t xml:space="preserve"> devant le tribunal de Palerme </w:t>
      </w:r>
      <w:r>
        <w:rPr>
          <w:lang w:val="fr-FR"/>
        </w:rPr>
        <w:t>ou</w:t>
      </w:r>
      <w:r w:rsidRPr="00135806">
        <w:rPr>
          <w:lang w:val="fr-FR"/>
        </w:rPr>
        <w:t xml:space="preserve"> devant la cour d</w:t>
      </w:r>
      <w:r w:rsidR="009E3984">
        <w:rPr>
          <w:lang w:val="fr-FR"/>
        </w:rPr>
        <w:t>’</w:t>
      </w:r>
      <w:r w:rsidRPr="00135806">
        <w:rPr>
          <w:lang w:val="fr-FR"/>
        </w:rPr>
        <w:t>appel de</w:t>
      </w:r>
      <w:r>
        <w:rPr>
          <w:lang w:val="fr-FR"/>
        </w:rPr>
        <w:t xml:space="preserve"> Palerme le grief tiré de l</w:t>
      </w:r>
      <w:r w:rsidR="009E3984">
        <w:rPr>
          <w:lang w:val="fr-FR"/>
        </w:rPr>
        <w:t>’</w:t>
      </w:r>
      <w:r>
        <w:rPr>
          <w:lang w:val="fr-FR"/>
        </w:rPr>
        <w:t>atteinte à son droit à la défense qu</w:t>
      </w:r>
      <w:r w:rsidR="009E3984">
        <w:rPr>
          <w:lang w:val="fr-FR"/>
        </w:rPr>
        <w:t>’</w:t>
      </w:r>
      <w:r>
        <w:rPr>
          <w:lang w:val="fr-FR"/>
        </w:rPr>
        <w:t>il estime avoir subie dans la procédure pénale menée à son encontre, en raison</w:t>
      </w:r>
      <w:r w:rsidRPr="004B0B7A">
        <w:rPr>
          <w:lang w:val="fr-FR"/>
        </w:rPr>
        <w:t xml:space="preserve"> des limitations </w:t>
      </w:r>
      <w:r>
        <w:rPr>
          <w:lang w:val="fr-FR"/>
        </w:rPr>
        <w:t>qui auraient été imposées à ses</w:t>
      </w:r>
      <w:r w:rsidRPr="004B0B7A">
        <w:rPr>
          <w:lang w:val="fr-FR"/>
        </w:rPr>
        <w:t xml:space="preserve"> contacts avec </w:t>
      </w:r>
      <w:r>
        <w:rPr>
          <w:lang w:val="fr-FR"/>
        </w:rPr>
        <w:t xml:space="preserve">son </w:t>
      </w:r>
      <w:r w:rsidRPr="004B0B7A">
        <w:rPr>
          <w:lang w:val="fr-FR"/>
        </w:rPr>
        <w:t>avocat</w:t>
      </w:r>
      <w:r w:rsidRPr="00135806">
        <w:rPr>
          <w:lang w:val="fr-FR"/>
        </w:rPr>
        <w:t xml:space="preserve">. </w:t>
      </w:r>
      <w:r>
        <w:rPr>
          <w:lang w:val="fr-FR"/>
        </w:rPr>
        <w:t>En particulier, aucun grief, concernant l</w:t>
      </w:r>
      <w:r w:rsidR="009E3984">
        <w:rPr>
          <w:lang w:val="fr-FR"/>
        </w:rPr>
        <w:t>’</w:t>
      </w:r>
      <w:r>
        <w:rPr>
          <w:lang w:val="fr-FR"/>
        </w:rPr>
        <w:t>impossibilité de préparer sa défense, n</w:t>
      </w:r>
      <w:r w:rsidR="009E3984">
        <w:rPr>
          <w:lang w:val="fr-FR"/>
        </w:rPr>
        <w:t>’</w:t>
      </w:r>
      <w:r>
        <w:rPr>
          <w:lang w:val="fr-FR"/>
        </w:rPr>
        <w:t>a été formulé ni devant le tribunal de Palerme, ni dans le recours en appel contre le jugement du tribunal.</w:t>
      </w:r>
    </w:p>
    <w:p w:rsidR="00067527" w:rsidRPr="00EF0810" w:rsidRDefault="00067527" w:rsidP="008A7892">
      <w:pPr>
        <w:pStyle w:val="ECHRPara"/>
        <w:rPr>
          <w:lang w:val="fr-FR"/>
        </w:rPr>
      </w:pPr>
      <w:r>
        <w:rPr>
          <w:lang w:val="fr-FR"/>
        </w:rPr>
        <w:t>37.  Aux yeux de la Cour, les</w:t>
      </w:r>
      <w:r w:rsidRPr="00135806">
        <w:rPr>
          <w:lang w:val="fr-FR"/>
        </w:rPr>
        <w:t xml:space="preserve"> déclarations spontanées </w:t>
      </w:r>
      <w:r>
        <w:rPr>
          <w:lang w:val="fr-FR"/>
        </w:rPr>
        <w:t>que l</w:t>
      </w:r>
      <w:r w:rsidR="009E3984">
        <w:rPr>
          <w:lang w:val="fr-FR"/>
        </w:rPr>
        <w:t>’</w:t>
      </w:r>
      <w:r>
        <w:rPr>
          <w:lang w:val="fr-FR"/>
        </w:rPr>
        <w:t>intéressé a faites devant le tribunal (voir paragraphe 13 ci-dessus) sans les étayer, relativement au comportement de l</w:t>
      </w:r>
      <w:r w:rsidR="009E3984">
        <w:rPr>
          <w:lang w:val="fr-FR"/>
        </w:rPr>
        <w:t>’</w:t>
      </w:r>
      <w:r>
        <w:rPr>
          <w:lang w:val="fr-FR"/>
        </w:rPr>
        <w:t xml:space="preserve">administration pénitentiaire et à </w:t>
      </w:r>
      <w:r w:rsidRPr="00135806">
        <w:rPr>
          <w:lang w:val="fr-FR"/>
        </w:rPr>
        <w:t>la limitation de</w:t>
      </w:r>
      <w:r>
        <w:rPr>
          <w:lang w:val="fr-FR"/>
        </w:rPr>
        <w:t xml:space="preserve"> se</w:t>
      </w:r>
      <w:r w:rsidRPr="00135806">
        <w:rPr>
          <w:lang w:val="fr-FR"/>
        </w:rPr>
        <w:t>s contacts avec son avocat</w:t>
      </w:r>
      <w:r>
        <w:rPr>
          <w:lang w:val="fr-FR"/>
        </w:rPr>
        <w:t xml:space="preserve"> </w:t>
      </w:r>
      <w:r w:rsidRPr="00135806">
        <w:rPr>
          <w:lang w:val="fr-FR"/>
        </w:rPr>
        <w:t xml:space="preserve">ne </w:t>
      </w:r>
      <w:r>
        <w:rPr>
          <w:lang w:val="fr-FR"/>
        </w:rPr>
        <w:t xml:space="preserve">peuvent </w:t>
      </w:r>
      <w:r w:rsidRPr="00135806">
        <w:rPr>
          <w:lang w:val="fr-FR"/>
        </w:rPr>
        <w:t>être considéré</w:t>
      </w:r>
      <w:r>
        <w:rPr>
          <w:lang w:val="fr-FR"/>
        </w:rPr>
        <w:t>es</w:t>
      </w:r>
      <w:r w:rsidRPr="00135806">
        <w:rPr>
          <w:lang w:val="fr-FR"/>
        </w:rPr>
        <w:t xml:space="preserve"> comme suffisamment précis</w:t>
      </w:r>
      <w:r>
        <w:rPr>
          <w:lang w:val="fr-FR"/>
        </w:rPr>
        <w:t>es</w:t>
      </w:r>
      <w:r w:rsidRPr="00135806">
        <w:rPr>
          <w:lang w:val="fr-FR"/>
        </w:rPr>
        <w:t xml:space="preserve"> </w:t>
      </w:r>
      <w:r w:rsidRPr="00481D05">
        <w:rPr>
          <w:lang w:val="fr-FR"/>
        </w:rPr>
        <w:t>pour être assimilables à un grief développé en substance (</w:t>
      </w:r>
      <w:r w:rsidRPr="00481D05">
        <w:rPr>
          <w:i/>
          <w:lang w:val="fr-FR"/>
        </w:rPr>
        <w:t>Ruiz Rivera c. Suisse</w:t>
      </w:r>
      <w:r w:rsidR="00481D05" w:rsidRPr="00481D05">
        <w:rPr>
          <w:lang w:val="fr-FR"/>
        </w:rPr>
        <w:t>, n</w:t>
      </w:r>
      <w:r w:rsidR="00481D05" w:rsidRPr="00481D05">
        <w:rPr>
          <w:vertAlign w:val="superscript"/>
          <w:lang w:val="fr-FR"/>
        </w:rPr>
        <w:t>o</w:t>
      </w:r>
      <w:r w:rsidR="00481D05" w:rsidRPr="00481D05">
        <w:rPr>
          <w:lang w:val="fr-FR"/>
        </w:rPr>
        <w:t xml:space="preserve"> </w:t>
      </w:r>
      <w:hyperlink r:id="rId21" w:anchor="{&quot;appno&quot;:[&quot;8300/06&quot;]}" w:tgtFrame="_blank" w:history="1">
        <w:r w:rsidRPr="00481D05">
          <w:rPr>
            <w:rStyle w:val="Collegamentoipertestuale"/>
            <w:color w:val="auto"/>
            <w:u w:val="none"/>
            <w:lang w:val="fr-FR"/>
          </w:rPr>
          <w:t>8300/06</w:t>
        </w:r>
      </w:hyperlink>
      <w:r w:rsidRPr="00481D05">
        <w:rPr>
          <w:lang w:val="fr-FR"/>
        </w:rPr>
        <w:t>, § 44, 18 fé</w:t>
      </w:r>
      <w:r w:rsidRPr="004B0B7A">
        <w:rPr>
          <w:lang w:val="fr-FR"/>
        </w:rPr>
        <w:t>vrier 2014</w:t>
      </w:r>
      <w:r w:rsidRPr="00135806">
        <w:rPr>
          <w:lang w:val="fr-FR"/>
        </w:rPr>
        <w:t xml:space="preserve">). Ces éléments suffisent à la Cour pour conclure que le </w:t>
      </w:r>
      <w:r>
        <w:rPr>
          <w:lang w:val="fr-FR"/>
        </w:rPr>
        <w:t xml:space="preserve">requérant </w:t>
      </w:r>
      <w:r w:rsidRPr="00EF0810">
        <w:rPr>
          <w:lang w:val="fr-FR"/>
        </w:rPr>
        <w:t>n</w:t>
      </w:r>
      <w:r w:rsidR="009E3984">
        <w:rPr>
          <w:lang w:val="fr-FR"/>
        </w:rPr>
        <w:t>’</w:t>
      </w:r>
      <w:r w:rsidRPr="00EF0810">
        <w:rPr>
          <w:lang w:val="fr-FR"/>
        </w:rPr>
        <w:t>a pas épuisé les voies de recours internes au sens de l</w:t>
      </w:r>
      <w:r w:rsidR="009E3984">
        <w:rPr>
          <w:lang w:val="fr-FR"/>
        </w:rPr>
        <w:t>’</w:t>
      </w:r>
      <w:r w:rsidRPr="00EF0810">
        <w:rPr>
          <w:lang w:val="fr-FR"/>
        </w:rPr>
        <w:t>article 35 § 1 de la Convention</w:t>
      </w:r>
      <w:r>
        <w:rPr>
          <w:lang w:val="fr-FR"/>
        </w:rPr>
        <w:t>. Il s</w:t>
      </w:r>
      <w:r w:rsidR="009E3984">
        <w:rPr>
          <w:lang w:val="fr-FR"/>
        </w:rPr>
        <w:t>’</w:t>
      </w:r>
      <w:r>
        <w:rPr>
          <w:lang w:val="fr-FR"/>
        </w:rPr>
        <w:t>ensuit</w:t>
      </w:r>
      <w:r w:rsidRPr="00EF0810">
        <w:rPr>
          <w:lang w:val="fr-FR"/>
        </w:rPr>
        <w:t xml:space="preserve"> </w:t>
      </w:r>
      <w:r>
        <w:rPr>
          <w:lang w:val="fr-FR"/>
        </w:rPr>
        <w:t xml:space="preserve">que </w:t>
      </w:r>
      <w:r w:rsidRPr="00EF0810">
        <w:rPr>
          <w:lang w:val="fr-FR"/>
        </w:rPr>
        <w:t>la requête doit être rejetée</w:t>
      </w:r>
      <w:r>
        <w:rPr>
          <w:lang w:val="fr-FR"/>
        </w:rPr>
        <w:t>,</w:t>
      </w:r>
      <w:r w:rsidRPr="00EF0810">
        <w:rPr>
          <w:lang w:val="fr-FR"/>
        </w:rPr>
        <w:t xml:space="preserve"> </w:t>
      </w:r>
      <w:r>
        <w:rPr>
          <w:lang w:val="fr-FR"/>
        </w:rPr>
        <w:t>en application de</w:t>
      </w:r>
      <w:r w:rsidRPr="00EF0810">
        <w:rPr>
          <w:lang w:val="fr-FR"/>
        </w:rPr>
        <w:t xml:space="preserve"> l</w:t>
      </w:r>
      <w:r w:rsidR="009E3984">
        <w:rPr>
          <w:lang w:val="fr-FR"/>
        </w:rPr>
        <w:t>’</w:t>
      </w:r>
      <w:r w:rsidRPr="00EF0810">
        <w:rPr>
          <w:lang w:val="fr-FR"/>
        </w:rPr>
        <w:t>article 35 § 4 de la Convention.</w:t>
      </w:r>
    </w:p>
    <w:p w:rsidR="00067527" w:rsidRPr="007B585E" w:rsidRDefault="00067527" w:rsidP="008A7892">
      <w:pPr>
        <w:pStyle w:val="JuParaLast"/>
        <w:rPr>
          <w:lang w:val="fr-FR"/>
        </w:rPr>
      </w:pPr>
      <w:r w:rsidRPr="007B585E">
        <w:rPr>
          <w:lang w:val="fr-FR"/>
        </w:rPr>
        <w:lastRenderedPageBreak/>
        <w:t>Par ces motifs, la Cour, à l</w:t>
      </w:r>
      <w:r w:rsidR="009E3984">
        <w:rPr>
          <w:lang w:val="fr-FR"/>
        </w:rPr>
        <w:t>’</w:t>
      </w:r>
      <w:r w:rsidRPr="007B585E">
        <w:rPr>
          <w:lang w:val="fr-FR"/>
        </w:rPr>
        <w:t>unanimité,</w:t>
      </w:r>
    </w:p>
    <w:p w:rsidR="00067527" w:rsidRPr="007B585E" w:rsidRDefault="00067527" w:rsidP="00AD4C5B">
      <w:pPr>
        <w:pStyle w:val="DecList"/>
        <w:keepNext/>
        <w:keepLines/>
        <w:rPr>
          <w:lang w:val="fr-FR"/>
        </w:rPr>
      </w:pPr>
      <w:r w:rsidRPr="007B585E">
        <w:rPr>
          <w:i/>
          <w:lang w:val="fr-FR"/>
        </w:rPr>
        <w:t>Déclare</w:t>
      </w:r>
      <w:r w:rsidRPr="007B585E">
        <w:rPr>
          <w:lang w:val="fr-FR"/>
        </w:rPr>
        <w:t xml:space="preserve"> la requête irrecevable.</w:t>
      </w:r>
    </w:p>
    <w:p w:rsidR="006544C4" w:rsidRPr="00D43F5E" w:rsidRDefault="006544C4" w:rsidP="00AD4C5B">
      <w:pPr>
        <w:pStyle w:val="ECHRPara"/>
        <w:keepNext/>
        <w:keepLines/>
        <w:rPr>
          <w:sz w:val="2"/>
          <w:szCs w:val="2"/>
          <w:lang w:val="fr-FR" w:eastAsia="en-GB"/>
        </w:rPr>
      </w:pPr>
    </w:p>
    <w:p w:rsidR="00050A32" w:rsidRPr="00D43F5E" w:rsidRDefault="00F40988" w:rsidP="00AD4C5B">
      <w:pPr>
        <w:pStyle w:val="JuParaLast"/>
        <w:rPr>
          <w:lang w:val="fr-FR"/>
        </w:rPr>
      </w:pPr>
      <w:r w:rsidRPr="00D43F5E">
        <w:rPr>
          <w:szCs w:val="24"/>
          <w:lang w:val="fr-FR"/>
        </w:rPr>
        <w:t xml:space="preserve">Fait en français puis communiqué par écrit le </w:t>
      </w:r>
      <w:r w:rsidR="00067527">
        <w:rPr>
          <w:szCs w:val="24"/>
          <w:lang w:val="fr-FR"/>
        </w:rPr>
        <w:t>6 octobre 2016</w:t>
      </w:r>
      <w:r w:rsidRPr="00D43F5E">
        <w:rPr>
          <w:lang w:val="fr-FR"/>
        </w:rPr>
        <w:t>.</w:t>
      </w:r>
    </w:p>
    <w:p w:rsidR="00234E8A" w:rsidRPr="00D43F5E" w:rsidRDefault="00981892" w:rsidP="00981892">
      <w:pPr>
        <w:pStyle w:val="JuSigned"/>
        <w:tabs>
          <w:tab w:val="clear" w:pos="6407"/>
          <w:tab w:val="center" w:pos="5954"/>
        </w:tabs>
        <w:contextualSpacing/>
        <w:rPr>
          <w:lang w:val="fr-FR"/>
        </w:rPr>
      </w:pPr>
      <w:r w:rsidRPr="00C02B8D">
        <w:rPr>
          <w:lang w:val="fr-FR"/>
        </w:rPr>
        <w:tab/>
      </w:r>
      <w:r w:rsidRPr="00BC16FC">
        <w:rPr>
          <w:lang w:val="fr-FR"/>
        </w:rPr>
        <w:t>Renata Degener</w:t>
      </w:r>
      <w:r w:rsidRPr="00BC16FC">
        <w:rPr>
          <w:lang w:val="fr-FR"/>
        </w:rPr>
        <w:tab/>
        <w:t>Linos-Alexandre Sicilianos</w:t>
      </w:r>
      <w:r w:rsidRPr="00BC16FC">
        <w:rPr>
          <w:lang w:val="fr-FR"/>
        </w:rPr>
        <w:br/>
      </w:r>
      <w:r w:rsidRPr="00BC16FC">
        <w:rPr>
          <w:lang w:val="fr-FR"/>
        </w:rPr>
        <w:tab/>
        <w:t>Greffière adjointe</w:t>
      </w:r>
      <w:r w:rsidRPr="00BC16FC">
        <w:rPr>
          <w:lang w:val="fr-FR"/>
        </w:rPr>
        <w:tab/>
        <w:t>Président</w:t>
      </w:r>
    </w:p>
    <w:sectPr w:rsidR="00234E8A" w:rsidRPr="00D43F5E" w:rsidSect="00AF7102">
      <w:headerReference w:type="even" r:id="rId22"/>
      <w:headerReference w:type="default" r:id="rId23"/>
      <w:headerReference w:type="first" r:id="rId24"/>
      <w:footerReference w:type="first" r:id="rId25"/>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BD8" w:rsidRPr="00AC6FC1" w:rsidRDefault="002C5BD8" w:rsidP="006544C4">
      <w:pPr>
        <w:rPr>
          <w:lang w:val="fr-FR"/>
        </w:rPr>
      </w:pPr>
      <w:r w:rsidRPr="00AC6FC1">
        <w:rPr>
          <w:lang w:val="fr-FR"/>
        </w:rPr>
        <w:separator/>
      </w:r>
    </w:p>
  </w:endnote>
  <w:endnote w:type="continuationSeparator" w:id="0">
    <w:p w:rsidR="002C5BD8" w:rsidRPr="00AC6FC1" w:rsidRDefault="002C5BD8" w:rsidP="006544C4">
      <w:pPr>
        <w:rPr>
          <w:lang w:val="fr-FR"/>
        </w:rPr>
      </w:pPr>
      <w:r w:rsidRPr="00AC6FC1">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27" w:rsidRPr="00150BFA" w:rsidRDefault="00067527" w:rsidP="0020718E">
    <w:pPr>
      <w:jc w:val="center"/>
    </w:pPr>
    <w:r>
      <w:rPr>
        <w:noProof/>
        <w:lang w:val="it-IT" w:eastAsia="it-IT"/>
      </w:rPr>
      <w:drawing>
        <wp:inline distT="0" distB="0" distL="0" distR="0" wp14:anchorId="6217CCB8" wp14:editId="461597E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AC6FC1" w:rsidRDefault="002C5BD8"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BD8" w:rsidRPr="00AC6FC1" w:rsidRDefault="002C5BD8" w:rsidP="006544C4">
      <w:pPr>
        <w:rPr>
          <w:lang w:val="fr-FR"/>
        </w:rPr>
      </w:pPr>
      <w:r w:rsidRPr="00AC6FC1">
        <w:rPr>
          <w:lang w:val="fr-FR"/>
        </w:rPr>
        <w:separator/>
      </w:r>
    </w:p>
  </w:footnote>
  <w:footnote w:type="continuationSeparator" w:id="0">
    <w:p w:rsidR="002C5BD8" w:rsidRPr="00AC6FC1" w:rsidRDefault="002C5BD8" w:rsidP="006544C4">
      <w:pPr>
        <w:rPr>
          <w:lang w:val="fr-FR"/>
        </w:rPr>
      </w:pPr>
      <w:r w:rsidRPr="00AC6FC1">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C6FC1" w:rsidRDefault="00067527" w:rsidP="003312A3">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A2348B">
      <w:rPr>
        <w:rStyle w:val="Numeropagina"/>
        <w:noProof/>
        <w:lang w:val="fr-FR"/>
      </w:rPr>
      <w:t>2</w:t>
    </w:r>
    <w:r>
      <w:rPr>
        <w:rStyle w:val="Numeropagina"/>
        <w:lang w:val="fr-FR"/>
      </w:rPr>
      <w:fldChar w:fldCharType="end"/>
    </w:r>
    <w:r w:rsidR="00334EC5" w:rsidRPr="00AC6FC1">
      <w:rPr>
        <w:lang w:val="fr-FR"/>
      </w:rPr>
      <w:tab/>
      <w:t xml:space="preserve">DÉCISION </w:t>
    </w:r>
    <w:r>
      <w:rPr>
        <w:lang w:val="fr-FR"/>
      </w:rPr>
      <w:t>MADONIA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C6FC1" w:rsidRDefault="00334EC5" w:rsidP="006544C4">
    <w:pPr>
      <w:pStyle w:val="ECHRHeader"/>
      <w:rPr>
        <w:lang w:val="fr-FR"/>
      </w:rPr>
    </w:pPr>
    <w:r w:rsidRPr="00AC6FC1">
      <w:rPr>
        <w:lang w:val="fr-FR"/>
      </w:rPr>
      <w:tab/>
      <w:t xml:space="preserve">DÉCISION </w:t>
    </w:r>
    <w:r w:rsidR="00067527">
      <w:rPr>
        <w:lang w:val="fr-FR"/>
      </w:rPr>
      <w:t>MADONIA c. ITALIE</w:t>
    </w:r>
    <w:r w:rsidRPr="00AC6FC1">
      <w:rPr>
        <w:lang w:val="fr-FR"/>
      </w:rPr>
      <w:tab/>
    </w:r>
    <w:r w:rsidR="00067527">
      <w:rPr>
        <w:rStyle w:val="Numeropagina"/>
        <w:lang w:val="fr-FR"/>
      </w:rPr>
      <w:fldChar w:fldCharType="begin"/>
    </w:r>
    <w:r w:rsidR="00067527">
      <w:rPr>
        <w:rStyle w:val="Numeropagina"/>
        <w:lang w:val="fr-FR"/>
      </w:rPr>
      <w:instrText xml:space="preserve"> PAGE </w:instrText>
    </w:r>
    <w:r w:rsidR="00067527">
      <w:rPr>
        <w:rStyle w:val="Numeropagina"/>
        <w:lang w:val="fr-FR"/>
      </w:rPr>
      <w:fldChar w:fldCharType="separate"/>
    </w:r>
    <w:r w:rsidR="00A2348B">
      <w:rPr>
        <w:rStyle w:val="Numeropagina"/>
        <w:noProof/>
        <w:lang w:val="fr-FR"/>
      </w:rPr>
      <w:t>7</w:t>
    </w:r>
    <w:r w:rsidR="00067527">
      <w:rPr>
        <w:rStyle w:val="Numeropagina"/>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527" w:rsidRPr="00A45145" w:rsidRDefault="00067527" w:rsidP="00A45145">
    <w:pPr>
      <w:jc w:val="center"/>
    </w:pPr>
    <w:r>
      <w:rPr>
        <w:noProof/>
        <w:lang w:val="it-IT" w:eastAsia="it-IT"/>
      </w:rPr>
      <w:drawing>
        <wp:inline distT="0" distB="0" distL="0" distR="0" wp14:anchorId="1A9F0F64" wp14:editId="631E377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AC6FC1" w:rsidRDefault="002C5BD8"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067527"/>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67527"/>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15C70"/>
    <w:rsid w:val="00120D6C"/>
    <w:rsid w:val="001257EC"/>
    <w:rsid w:val="00133D33"/>
    <w:rsid w:val="00134D64"/>
    <w:rsid w:val="00135A30"/>
    <w:rsid w:val="0013612C"/>
    <w:rsid w:val="00137FF6"/>
    <w:rsid w:val="00141650"/>
    <w:rsid w:val="0015648C"/>
    <w:rsid w:val="00162A12"/>
    <w:rsid w:val="00166234"/>
    <w:rsid w:val="00166530"/>
    <w:rsid w:val="0016678F"/>
    <w:rsid w:val="001832BD"/>
    <w:rsid w:val="00187BCB"/>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C5BD8"/>
    <w:rsid w:val="002D022D"/>
    <w:rsid w:val="002D24BB"/>
    <w:rsid w:val="002F2AF7"/>
    <w:rsid w:val="002F7E1C"/>
    <w:rsid w:val="00301A75"/>
    <w:rsid w:val="00302F70"/>
    <w:rsid w:val="0030336F"/>
    <w:rsid w:val="0030375E"/>
    <w:rsid w:val="00312A30"/>
    <w:rsid w:val="00320F35"/>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1D05"/>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01DC8"/>
    <w:rsid w:val="00611C80"/>
    <w:rsid w:val="00620692"/>
    <w:rsid w:val="00623BF1"/>
    <w:rsid w:val="006242CA"/>
    <w:rsid w:val="00627507"/>
    <w:rsid w:val="00633717"/>
    <w:rsid w:val="006344E1"/>
    <w:rsid w:val="00646824"/>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07E2"/>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1892"/>
    <w:rsid w:val="0098228B"/>
    <w:rsid w:val="009828DA"/>
    <w:rsid w:val="00985BAB"/>
    <w:rsid w:val="009B11AD"/>
    <w:rsid w:val="009B1B5F"/>
    <w:rsid w:val="009B6673"/>
    <w:rsid w:val="009C191B"/>
    <w:rsid w:val="009C2BD6"/>
    <w:rsid w:val="009E1F32"/>
    <w:rsid w:val="009E3984"/>
    <w:rsid w:val="009E776C"/>
    <w:rsid w:val="009F1D6B"/>
    <w:rsid w:val="00A1726E"/>
    <w:rsid w:val="00A204CF"/>
    <w:rsid w:val="00A2348B"/>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C5B"/>
    <w:rsid w:val="00AD4F05"/>
    <w:rsid w:val="00AD6316"/>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3783B"/>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3265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D43F5E"/>
    <w:pPr>
      <w:jc w:val="both"/>
    </w:pPr>
    <w:rPr>
      <w:rFonts w:eastAsiaTheme="minorEastAsia"/>
      <w:sz w:val="24"/>
    </w:rPr>
  </w:style>
  <w:style w:type="paragraph" w:styleId="Titolo1">
    <w:name w:val="heading 1"/>
    <w:basedOn w:val="Normale"/>
    <w:next w:val="Normale"/>
    <w:link w:val="Titolo1Carattere"/>
    <w:uiPriority w:val="99"/>
    <w:semiHidden/>
    <w:rsid w:val="00D43F5E"/>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43F5E"/>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43F5E"/>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43F5E"/>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D43F5E"/>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D43F5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D43F5E"/>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D43F5E"/>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D43F5E"/>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43F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3F5E"/>
    <w:rPr>
      <w:rFonts w:ascii="Tahoma" w:eastAsiaTheme="minorEastAsia" w:hAnsi="Tahoma" w:cs="Tahoma"/>
      <w:sz w:val="16"/>
      <w:szCs w:val="16"/>
    </w:rPr>
  </w:style>
  <w:style w:type="character" w:styleId="Titolodellibro">
    <w:name w:val="Book Title"/>
    <w:uiPriority w:val="99"/>
    <w:semiHidden/>
    <w:qFormat/>
    <w:rsid w:val="00D43F5E"/>
    <w:rPr>
      <w:i/>
      <w:iCs/>
      <w:smallCaps/>
      <w:spacing w:val="5"/>
    </w:rPr>
  </w:style>
  <w:style w:type="paragraph" w:customStyle="1" w:styleId="ECHRHeader">
    <w:name w:val="ECHR_Header"/>
    <w:aliases w:val="Ju_Header"/>
    <w:basedOn w:val="Intestazione"/>
    <w:uiPriority w:val="4"/>
    <w:qFormat/>
    <w:rsid w:val="00D43F5E"/>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D43F5E"/>
    <w:pPr>
      <w:numPr>
        <w:numId w:val="23"/>
      </w:numPr>
      <w:jc w:val="left"/>
    </w:pPr>
    <w:rPr>
      <w:b/>
    </w:rPr>
  </w:style>
  <w:style w:type="character" w:styleId="Enfasigrassetto">
    <w:name w:val="Strong"/>
    <w:uiPriority w:val="99"/>
    <w:semiHidden/>
    <w:qFormat/>
    <w:rsid w:val="00D43F5E"/>
    <w:rPr>
      <w:b/>
      <w:bCs/>
    </w:rPr>
  </w:style>
  <w:style w:type="paragraph" w:styleId="Nessunaspaziatura">
    <w:name w:val="No Spacing"/>
    <w:basedOn w:val="Normale"/>
    <w:link w:val="NessunaspaziaturaCarattere"/>
    <w:semiHidden/>
    <w:qFormat/>
    <w:rsid w:val="00D43F5E"/>
  </w:style>
  <w:style w:type="character" w:customStyle="1" w:styleId="NessunaspaziaturaCarattere">
    <w:name w:val="Nessuna spaziatura Carattere"/>
    <w:basedOn w:val="Carpredefinitoparagrafo"/>
    <w:link w:val="Nessunaspaziatura"/>
    <w:semiHidden/>
    <w:rsid w:val="00D43F5E"/>
    <w:rPr>
      <w:rFonts w:eastAsiaTheme="minorEastAsia"/>
      <w:sz w:val="24"/>
    </w:rPr>
  </w:style>
  <w:style w:type="paragraph" w:customStyle="1" w:styleId="OpiPara">
    <w:name w:val="Opi_Para"/>
    <w:basedOn w:val="ECHRPara"/>
    <w:uiPriority w:val="46"/>
    <w:qFormat/>
    <w:rsid w:val="00D43F5E"/>
  </w:style>
  <w:style w:type="paragraph" w:customStyle="1" w:styleId="ECHRParaQuote">
    <w:name w:val="ECHR_Para_Quote"/>
    <w:aliases w:val="Ju_Quot"/>
    <w:basedOn w:val="Normale"/>
    <w:uiPriority w:val="14"/>
    <w:qFormat/>
    <w:rsid w:val="00D43F5E"/>
    <w:pPr>
      <w:spacing w:before="120" w:after="120"/>
      <w:ind w:left="425" w:firstLine="142"/>
    </w:pPr>
    <w:rPr>
      <w:sz w:val="20"/>
    </w:rPr>
  </w:style>
  <w:style w:type="paragraph" w:customStyle="1" w:styleId="JuParaSub">
    <w:name w:val="Ju_Para_Sub"/>
    <w:basedOn w:val="ECHRPara"/>
    <w:uiPriority w:val="13"/>
    <w:unhideWhenUsed/>
    <w:qFormat/>
    <w:rsid w:val="00D43F5E"/>
    <w:pPr>
      <w:ind w:left="284"/>
    </w:pPr>
  </w:style>
  <w:style w:type="paragraph" w:customStyle="1" w:styleId="OpiParaSub">
    <w:name w:val="Opi_Para_Sub"/>
    <w:basedOn w:val="JuParaSub"/>
    <w:uiPriority w:val="47"/>
    <w:unhideWhenUsed/>
    <w:qFormat/>
    <w:rsid w:val="00D43F5E"/>
  </w:style>
  <w:style w:type="paragraph" w:customStyle="1" w:styleId="OpiQuot">
    <w:name w:val="Opi_Quot"/>
    <w:basedOn w:val="ECHRParaQuote"/>
    <w:uiPriority w:val="48"/>
    <w:qFormat/>
    <w:rsid w:val="00D43F5E"/>
  </w:style>
  <w:style w:type="paragraph" w:customStyle="1" w:styleId="OpiQuotSub">
    <w:name w:val="Opi_Quot_Sub"/>
    <w:basedOn w:val="JuQuotSub"/>
    <w:uiPriority w:val="49"/>
    <w:qFormat/>
    <w:rsid w:val="00D43F5E"/>
  </w:style>
  <w:style w:type="paragraph" w:customStyle="1" w:styleId="ECHRTitleCentre3">
    <w:name w:val="ECHR_Title_Centre_3"/>
    <w:aliases w:val="Ju_H_Article"/>
    <w:basedOn w:val="Normale"/>
    <w:next w:val="ECHRParaQuote"/>
    <w:uiPriority w:val="27"/>
    <w:qFormat/>
    <w:rsid w:val="00D43F5E"/>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D43F5E"/>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D43F5E"/>
    <w:pPr>
      <w:ind w:left="567"/>
    </w:pPr>
  </w:style>
  <w:style w:type="paragraph" w:customStyle="1" w:styleId="ECHRTitle1">
    <w:name w:val="ECHR_Title_1"/>
    <w:aliases w:val="Ju_H_Head"/>
    <w:basedOn w:val="Normale"/>
    <w:next w:val="ECHRPara"/>
    <w:uiPriority w:val="18"/>
    <w:qFormat/>
    <w:rsid w:val="00D43F5E"/>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D43F5E"/>
    <w:pPr>
      <w:tabs>
        <w:tab w:val="center" w:pos="6407"/>
      </w:tabs>
      <w:spacing w:before="720"/>
      <w:jc w:val="right"/>
    </w:pPr>
  </w:style>
  <w:style w:type="paragraph" w:styleId="Titolo">
    <w:name w:val="Title"/>
    <w:basedOn w:val="Normale"/>
    <w:next w:val="Normale"/>
    <w:link w:val="TitoloCarattere"/>
    <w:uiPriority w:val="99"/>
    <w:semiHidden/>
    <w:qFormat/>
    <w:rsid w:val="00D43F5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D43F5E"/>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D43F5E"/>
    <w:pPr>
      <w:tabs>
        <w:tab w:val="clear" w:pos="357"/>
      </w:tabs>
      <w:outlineLvl w:val="1"/>
    </w:pPr>
    <w:rPr>
      <w:b/>
    </w:rPr>
  </w:style>
  <w:style w:type="character" w:customStyle="1" w:styleId="JUNAMES">
    <w:name w:val="JU_NAMES"/>
    <w:uiPriority w:val="17"/>
    <w:qFormat/>
    <w:rsid w:val="00D43F5E"/>
    <w:rPr>
      <w:caps w:val="0"/>
      <w:smallCaps/>
    </w:rPr>
  </w:style>
  <w:style w:type="character" w:customStyle="1" w:styleId="JuITMark">
    <w:name w:val="Ju_ITMark"/>
    <w:basedOn w:val="Carpredefinitoparagrafo"/>
    <w:uiPriority w:val="38"/>
    <w:qFormat/>
    <w:rsid w:val="00D43F5E"/>
    <w:rPr>
      <w:vanish w:val="0"/>
      <w:color w:val="auto"/>
      <w:sz w:val="14"/>
    </w:rPr>
  </w:style>
  <w:style w:type="paragraph" w:customStyle="1" w:styleId="OpiTranslation">
    <w:name w:val="Opi_Translation"/>
    <w:basedOn w:val="Normale"/>
    <w:next w:val="OpiPara"/>
    <w:uiPriority w:val="40"/>
    <w:qFormat/>
    <w:rsid w:val="00D43F5E"/>
    <w:pPr>
      <w:jc w:val="center"/>
      <w:outlineLvl w:val="0"/>
    </w:pPr>
    <w:rPr>
      <w:i/>
    </w:rPr>
  </w:style>
  <w:style w:type="paragraph" w:customStyle="1" w:styleId="JuCourt">
    <w:name w:val="Ju_Court"/>
    <w:basedOn w:val="Normale"/>
    <w:next w:val="Normale"/>
    <w:uiPriority w:val="16"/>
    <w:qFormat/>
    <w:rsid w:val="00D43F5E"/>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D43F5E"/>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D43F5E"/>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D43F5E"/>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D43F5E"/>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43F5E"/>
    <w:rPr>
      <w:sz w:val="24"/>
    </w:rPr>
  </w:style>
  <w:style w:type="character" w:customStyle="1" w:styleId="Titolo1Carattere">
    <w:name w:val="Titolo 1 Carattere"/>
    <w:basedOn w:val="Carpredefinitoparagrafo"/>
    <w:link w:val="Titolo1"/>
    <w:uiPriority w:val="99"/>
    <w:semiHidden/>
    <w:rsid w:val="00D43F5E"/>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D43F5E"/>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D43F5E"/>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D43F5E"/>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D43F5E"/>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D43F5E"/>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D43F5E"/>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D43F5E"/>
    <w:pPr>
      <w:keepNext/>
      <w:keepLines/>
      <w:spacing w:before="240"/>
      <w:ind w:firstLine="284"/>
    </w:pPr>
  </w:style>
  <w:style w:type="paragraph" w:customStyle="1" w:styleId="DecList">
    <w:name w:val="Dec_List"/>
    <w:basedOn w:val="Normale"/>
    <w:uiPriority w:val="9"/>
    <w:qFormat/>
    <w:rsid w:val="00D43F5E"/>
    <w:pPr>
      <w:spacing w:before="240"/>
      <w:ind w:left="284"/>
    </w:pPr>
  </w:style>
  <w:style w:type="character" w:customStyle="1" w:styleId="Titolo4Carattere">
    <w:name w:val="Titolo 4 Carattere"/>
    <w:basedOn w:val="Carpredefinitoparagrafo"/>
    <w:link w:val="Titolo4"/>
    <w:uiPriority w:val="99"/>
    <w:semiHidden/>
    <w:rsid w:val="00D43F5E"/>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D43F5E"/>
    <w:pPr>
      <w:tabs>
        <w:tab w:val="left" w:pos="567"/>
        <w:tab w:val="left" w:pos="1134"/>
      </w:tabs>
      <w:jc w:val="left"/>
    </w:pPr>
  </w:style>
  <w:style w:type="character" w:customStyle="1" w:styleId="Titolo5Carattere">
    <w:name w:val="Titolo 5 Carattere"/>
    <w:basedOn w:val="Carpredefinitoparagrafo"/>
    <w:link w:val="Titolo5"/>
    <w:uiPriority w:val="99"/>
    <w:semiHidden/>
    <w:rsid w:val="00D43F5E"/>
    <w:rPr>
      <w:rFonts w:asciiTheme="majorHAnsi" w:eastAsiaTheme="majorEastAsia" w:hAnsiTheme="majorHAnsi" w:cstheme="majorBidi"/>
      <w:b/>
      <w:bCs/>
      <w:color w:val="808080"/>
      <w:sz w:val="24"/>
    </w:rPr>
  </w:style>
  <w:style w:type="paragraph" w:customStyle="1" w:styleId="JuList">
    <w:name w:val="Ju_List"/>
    <w:basedOn w:val="Normale"/>
    <w:uiPriority w:val="28"/>
    <w:qFormat/>
    <w:rsid w:val="00D43F5E"/>
    <w:pPr>
      <w:ind w:left="340" w:hanging="340"/>
    </w:pPr>
  </w:style>
  <w:style w:type="paragraph" w:customStyle="1" w:styleId="JuLista">
    <w:name w:val="Ju_List_a"/>
    <w:basedOn w:val="JuList"/>
    <w:uiPriority w:val="28"/>
    <w:qFormat/>
    <w:rsid w:val="00D43F5E"/>
    <w:pPr>
      <w:ind w:left="346" w:firstLine="0"/>
    </w:pPr>
  </w:style>
  <w:style w:type="character" w:styleId="Enfasidelicata">
    <w:name w:val="Subtle Emphasis"/>
    <w:uiPriority w:val="99"/>
    <w:semiHidden/>
    <w:qFormat/>
    <w:rsid w:val="00D43F5E"/>
    <w:rPr>
      <w:i/>
      <w:iCs/>
    </w:rPr>
  </w:style>
  <w:style w:type="paragraph" w:customStyle="1" w:styleId="JuListi">
    <w:name w:val="Ju_List_i"/>
    <w:basedOn w:val="Normale"/>
    <w:next w:val="JuLista"/>
    <w:uiPriority w:val="28"/>
    <w:qFormat/>
    <w:rsid w:val="00D43F5E"/>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qFormat/>
    <w:rsid w:val="00D43F5E"/>
    <w:pPr>
      <w:ind w:left="635" w:hanging="357"/>
      <w:outlineLvl w:val="2"/>
    </w:pPr>
  </w:style>
  <w:style w:type="paragraph" w:customStyle="1" w:styleId="OpiHa0">
    <w:name w:val="Opi_H_a"/>
    <w:basedOn w:val="ECHRHeading3"/>
    <w:uiPriority w:val="43"/>
    <w:qFormat/>
    <w:rsid w:val="00D43F5E"/>
    <w:pPr>
      <w:ind w:left="833" w:hanging="357"/>
      <w:outlineLvl w:val="3"/>
    </w:pPr>
    <w:rPr>
      <w:b/>
      <w:i w:val="0"/>
      <w:sz w:val="20"/>
    </w:rPr>
  </w:style>
  <w:style w:type="paragraph" w:customStyle="1" w:styleId="ECHRTitleCentre2">
    <w:name w:val="ECHR_Title_Centre_2"/>
    <w:aliases w:val="Dec_H_Case"/>
    <w:basedOn w:val="Normale"/>
    <w:next w:val="ECHRPara"/>
    <w:uiPriority w:val="8"/>
    <w:qFormat/>
    <w:rsid w:val="00D43F5E"/>
    <w:pPr>
      <w:spacing w:after="240"/>
      <w:jc w:val="center"/>
      <w:outlineLvl w:val="0"/>
    </w:pPr>
    <w:rPr>
      <w:rFonts w:asciiTheme="majorHAnsi" w:hAnsiTheme="majorHAnsi"/>
      <w:i/>
    </w:rPr>
  </w:style>
  <w:style w:type="character" w:styleId="Enfasicorsivo">
    <w:name w:val="Emphasis"/>
    <w:uiPriority w:val="99"/>
    <w:semiHidden/>
    <w:qFormat/>
    <w:rsid w:val="00D43F5E"/>
    <w:rPr>
      <w:b/>
      <w:bCs/>
      <w:i/>
      <w:iCs/>
      <w:spacing w:val="10"/>
      <w:bdr w:val="none" w:sz="0" w:space="0" w:color="auto"/>
      <w:shd w:val="clear" w:color="auto" w:fill="auto"/>
    </w:rPr>
  </w:style>
  <w:style w:type="paragraph" w:styleId="Pidipagina">
    <w:name w:val="footer"/>
    <w:basedOn w:val="Normale"/>
    <w:link w:val="PidipaginaCarattere"/>
    <w:uiPriority w:val="57"/>
    <w:semiHidden/>
    <w:rsid w:val="00D43F5E"/>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43F5E"/>
    <w:rPr>
      <w:sz w:val="24"/>
    </w:rPr>
  </w:style>
  <w:style w:type="character" w:styleId="Rimandonotaapidipagina">
    <w:name w:val="footnote reference"/>
    <w:basedOn w:val="Carpredefinitoparagrafo"/>
    <w:uiPriority w:val="99"/>
    <w:semiHidden/>
    <w:rsid w:val="00D43F5E"/>
    <w:rPr>
      <w:vertAlign w:val="superscript"/>
    </w:rPr>
  </w:style>
  <w:style w:type="paragraph" w:styleId="Testonotaapidipagina">
    <w:name w:val="footnote text"/>
    <w:basedOn w:val="Normale"/>
    <w:link w:val="TestonotaapidipaginaCarattere"/>
    <w:uiPriority w:val="99"/>
    <w:semiHidden/>
    <w:rsid w:val="00D43F5E"/>
    <w:rPr>
      <w:sz w:val="20"/>
      <w:szCs w:val="20"/>
    </w:rPr>
  </w:style>
  <w:style w:type="character" w:customStyle="1" w:styleId="TestonotaapidipaginaCarattere">
    <w:name w:val="Testo nota a piè di pagina Carattere"/>
    <w:basedOn w:val="Carpredefinitoparagrafo"/>
    <w:link w:val="Testonotaapidipagina"/>
    <w:uiPriority w:val="99"/>
    <w:semiHidden/>
    <w:rsid w:val="00D43F5E"/>
    <w:rPr>
      <w:rFonts w:eastAsiaTheme="minorEastAsia"/>
      <w:sz w:val="20"/>
      <w:szCs w:val="20"/>
    </w:rPr>
  </w:style>
  <w:style w:type="character" w:customStyle="1" w:styleId="Titolo6Carattere">
    <w:name w:val="Titolo 6 Carattere"/>
    <w:basedOn w:val="Carpredefinitoparagrafo"/>
    <w:link w:val="Titolo6"/>
    <w:uiPriority w:val="99"/>
    <w:semiHidden/>
    <w:rsid w:val="00D43F5E"/>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D43F5E"/>
    <w:rPr>
      <w:rFonts w:asciiTheme="majorHAnsi" w:eastAsiaTheme="majorEastAsia" w:hAnsiTheme="majorHAnsi" w:cstheme="majorBidi"/>
      <w:i/>
      <w:iCs/>
      <w:sz w:val="24"/>
      <w:lang w:bidi="en-US"/>
    </w:rPr>
  </w:style>
  <w:style w:type="character" w:customStyle="1" w:styleId="Titolo8Carattere">
    <w:name w:val="Titolo 8 Carattere"/>
    <w:basedOn w:val="Carpredefinitoparagrafo"/>
    <w:link w:val="Titolo8"/>
    <w:uiPriority w:val="99"/>
    <w:semiHidden/>
    <w:rsid w:val="00D43F5E"/>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D43F5E"/>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rsid w:val="00D43F5E"/>
    <w:rPr>
      <w:color w:val="0072BC" w:themeColor="hyperlink"/>
      <w:u w:val="single"/>
    </w:rPr>
  </w:style>
  <w:style w:type="character" w:styleId="Enfasiintensa">
    <w:name w:val="Intense Emphasis"/>
    <w:uiPriority w:val="99"/>
    <w:semiHidden/>
    <w:qFormat/>
    <w:rsid w:val="00D43F5E"/>
    <w:rPr>
      <w:b/>
      <w:bCs/>
    </w:rPr>
  </w:style>
  <w:style w:type="paragraph" w:styleId="Citazioneintensa">
    <w:name w:val="Intense Quote"/>
    <w:basedOn w:val="Normale"/>
    <w:next w:val="Normale"/>
    <w:link w:val="CitazioneintensaCarattere"/>
    <w:uiPriority w:val="99"/>
    <w:semiHidden/>
    <w:qFormat/>
    <w:rsid w:val="00D43F5E"/>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D43F5E"/>
    <w:rPr>
      <w:rFonts w:eastAsiaTheme="minorEastAsia"/>
      <w:b/>
      <w:bCs/>
      <w:i/>
      <w:iCs/>
      <w:sz w:val="24"/>
      <w:lang w:bidi="en-US"/>
    </w:rPr>
  </w:style>
  <w:style w:type="character" w:styleId="Riferimentointenso">
    <w:name w:val="Intense Reference"/>
    <w:uiPriority w:val="99"/>
    <w:semiHidden/>
    <w:qFormat/>
    <w:rsid w:val="00D43F5E"/>
    <w:rPr>
      <w:smallCaps/>
      <w:spacing w:val="5"/>
      <w:u w:val="single"/>
    </w:rPr>
  </w:style>
  <w:style w:type="paragraph" w:styleId="Paragrafoelenco">
    <w:name w:val="List Paragraph"/>
    <w:basedOn w:val="Normale"/>
    <w:uiPriority w:val="99"/>
    <w:semiHidden/>
    <w:qFormat/>
    <w:rsid w:val="00D43F5E"/>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D43F5E"/>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D43F5E"/>
    <w:rPr>
      <w:rFonts w:eastAsiaTheme="minorEastAsia"/>
      <w:i/>
      <w:iCs/>
      <w:sz w:val="24"/>
      <w:lang w:bidi="en-US"/>
    </w:rPr>
  </w:style>
  <w:style w:type="character" w:styleId="Riferimentodelicato">
    <w:name w:val="Subtle Reference"/>
    <w:uiPriority w:val="99"/>
    <w:semiHidden/>
    <w:qFormat/>
    <w:rsid w:val="00D43F5E"/>
    <w:rPr>
      <w:smallCaps/>
    </w:rPr>
  </w:style>
  <w:style w:type="table" w:styleId="Grigliatabella">
    <w:name w:val="Table Grid"/>
    <w:basedOn w:val="Tabellanormale"/>
    <w:uiPriority w:val="59"/>
    <w:rsid w:val="00D43F5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D43F5E"/>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D43F5E"/>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D43F5E"/>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D43F5E"/>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D43F5E"/>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D43F5E"/>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D43F5E"/>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qFormat/>
    <w:rsid w:val="00D43F5E"/>
    <w:pPr>
      <w:ind w:left="1037" w:hanging="357"/>
      <w:outlineLvl w:val="4"/>
    </w:pPr>
    <w:rPr>
      <w:b w:val="0"/>
      <w:i/>
    </w:rPr>
  </w:style>
  <w:style w:type="paragraph" w:customStyle="1" w:styleId="DummyStyle">
    <w:name w:val="Dummy_Style"/>
    <w:basedOn w:val="Normale"/>
    <w:semiHidden/>
    <w:qFormat/>
    <w:rsid w:val="00D43F5E"/>
    <w:rPr>
      <w:color w:val="00B050"/>
    </w:rPr>
  </w:style>
  <w:style w:type="paragraph" w:styleId="Sottotitolo">
    <w:name w:val="Subtitle"/>
    <w:basedOn w:val="Normale"/>
    <w:next w:val="Normale"/>
    <w:link w:val="SottotitoloCarattere"/>
    <w:uiPriority w:val="99"/>
    <w:semiHidden/>
    <w:qFormat/>
    <w:rsid w:val="00D43F5E"/>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JuParaCar"/>
    <w:uiPriority w:val="12"/>
    <w:qFormat/>
    <w:rsid w:val="00D43F5E"/>
    <w:pPr>
      <w:ind w:firstLine="284"/>
    </w:pPr>
  </w:style>
  <w:style w:type="character" w:customStyle="1" w:styleId="SottotitoloCarattere">
    <w:name w:val="Sottotitolo Carattere"/>
    <w:basedOn w:val="Carpredefinitoparagrafo"/>
    <w:link w:val="Sottotitolo"/>
    <w:uiPriority w:val="99"/>
    <w:semiHidden/>
    <w:rsid w:val="00D43F5E"/>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D43F5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D43F5E"/>
    <w:pPr>
      <w:tabs>
        <w:tab w:val="center" w:pos="851"/>
        <w:tab w:val="center" w:pos="6407"/>
      </w:tabs>
      <w:spacing w:before="720"/>
      <w:jc w:val="left"/>
    </w:pPr>
  </w:style>
  <w:style w:type="paragraph" w:customStyle="1" w:styleId="JuTitle">
    <w:name w:val="Ju_Title"/>
    <w:basedOn w:val="Normale"/>
    <w:next w:val="ECHRPara"/>
    <w:uiPriority w:val="3"/>
    <w:qFormat/>
    <w:rsid w:val="00D43F5E"/>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D43F5E"/>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D43F5E"/>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D43F5E"/>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D43F5E"/>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D43F5E"/>
    <w:pPr>
      <w:jc w:val="left"/>
    </w:pPr>
    <w:rPr>
      <w:sz w:val="8"/>
    </w:rPr>
  </w:style>
  <w:style w:type="paragraph" w:customStyle="1" w:styleId="ECHRFooterLine">
    <w:name w:val="ECHR_Footer_Line"/>
    <w:aliases w:val="Footer_Line"/>
    <w:basedOn w:val="Normale"/>
    <w:next w:val="ECHRFooter"/>
    <w:uiPriority w:val="57"/>
    <w:semiHidden/>
    <w:rsid w:val="00D43F5E"/>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rsid w:val="00D43F5E"/>
    <w:pPr>
      <w:ind w:firstLine="284"/>
    </w:pPr>
    <w:rPr>
      <w:b/>
    </w:rPr>
  </w:style>
  <w:style w:type="paragraph" w:customStyle="1" w:styleId="JuHeaderLandscape">
    <w:name w:val="Ju_Header_Landscape"/>
    <w:basedOn w:val="ECHRHeader"/>
    <w:uiPriority w:val="4"/>
    <w:qFormat/>
    <w:rsid w:val="00D43F5E"/>
    <w:pPr>
      <w:tabs>
        <w:tab w:val="clear" w:pos="3686"/>
        <w:tab w:val="clear" w:pos="7371"/>
        <w:tab w:val="center" w:pos="6146"/>
        <w:tab w:val="right" w:pos="12293"/>
      </w:tabs>
    </w:pPr>
  </w:style>
  <w:style w:type="character" w:customStyle="1" w:styleId="JuParaCar">
    <w:name w:val="Ju_Para Car"/>
    <w:link w:val="ECHRPara"/>
    <w:uiPriority w:val="12"/>
    <w:rsid w:val="00067527"/>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doc.echr.coe.int/eng" TargetMode="External"/><Relationship Id="rId18" Type="http://schemas.openxmlformats.org/officeDocument/2006/relationships/hyperlink" Target="http://hudoc.echr.coe.int/e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hudoc.echr.coe.int/eng" TargetMode="External"/><Relationship Id="rId7" Type="http://schemas.openxmlformats.org/officeDocument/2006/relationships/settings" Target="settings.xml"/><Relationship Id="rId12" Type="http://schemas.openxmlformats.org/officeDocument/2006/relationships/hyperlink" Target="http://hudoc.echr.coe.int/eng" TargetMode="External"/><Relationship Id="rId17" Type="http://schemas.openxmlformats.org/officeDocument/2006/relationships/hyperlink" Target="http://hudoc.echr.coe.int/e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hudoc.echr.coe.int/eng" TargetMode="External"/><Relationship Id="rId20" Type="http://schemas.openxmlformats.org/officeDocument/2006/relationships/hyperlink" Target="http://hudoc.echr.coe.int/e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doc.echr.coe.int/en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hudoc.echr.coe.int/en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doc.echr.coe.int/en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0724-DACC-4A28-9859-40ECC6A77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E3CA17-B044-477C-97A6-3E90B608A8C3}">
  <ds:schemaRefs>
    <ds:schemaRef ds:uri="http://schemas.microsoft.com/sharepoint/v3/contenttype/forms"/>
  </ds:schemaRefs>
</ds:datastoreItem>
</file>

<file path=customXml/itemProps3.xml><?xml version="1.0" encoding="utf-8"?>
<ds:datastoreItem xmlns:ds="http://schemas.openxmlformats.org/officeDocument/2006/customXml" ds:itemID="{38822CD3-A63A-490E-9CD0-C097DB812C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2F8F31-E141-4519-8CC8-A4087158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2206</Words>
  <Characters>12579</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2016-10-13T16:09:00Z</dcterms:created>
  <dcterms:modified xsi:type="dcterms:W3CDTF">2016-10-13T16:09:00Z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48974/12</vt:lpwstr>
  </property>
  <property fmtid="{D5CDD505-2E9C-101B-9397-08002B2CF9AE}" pid="4" name="CASEID">
    <vt:lpwstr>817602</vt:lpwstr>
  </property>
  <property fmtid="{D5CDD505-2E9C-101B-9397-08002B2CF9AE}" pid="5" name="OrigTemp">
    <vt:lpwstr>French\Documents\DF01 Decisions et Rapports\Reports automation IT ONLY\Décision.dotx</vt:lpwstr>
  </property>
  <property fmtid="{D5CDD505-2E9C-101B-9397-08002B2CF9AE}" pid="6" name="ContentTypeId">
    <vt:lpwstr>0x010100558EB02BDB9E204AB350EDD385B68E10</vt:lpwstr>
  </property>
</Properties>
</file>